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color w:val="4A86E8"/>
          <w:sz w:val="24"/>
        </w:rPr>
        <w:t>Headlines, 20 July 2026</w:t>
      </w:r>
    </w:p>
    <w:p>
      <w:pPr>
        <w:spacing w:before="120" w:after="60"/>
      </w:pPr>
      <w:r>
        <w:rPr>
          <w:b/>
          <w:color w:val="4A86E8"/>
          <w:sz w:val="24"/>
        </w:rPr>
        <w:t>Saudi Arabia/Regional</w:t>
      </w:r>
    </w:p>
    <w:p>
      <w:pPr>
        <w:pStyle w:val="ListBullet"/>
        <w:spacing w:after="40"/>
      </w:pPr>
      <w:r>
        <w:rPr>
          <w:sz w:val="24"/>
        </w:rPr>
        <w:t>Riyadh Air to take 787-10s as it firms up Dreamliner and A350-1000 options</w:t>
      </w:r>
    </w:p>
    <w:p>
      <w:pPr>
        <w:pStyle w:val="ListBullet"/>
        <w:spacing w:after="40"/>
      </w:pPr>
      <w:r>
        <w:rPr>
          <w:sz w:val="24"/>
        </w:rPr>
        <w:t>Arab Fashion Council names new chairwoman</w:t>
      </w:r>
    </w:p>
    <w:p>
      <w:pPr>
        <w:spacing w:before="120" w:after="60"/>
      </w:pPr>
      <w:r>
        <w:rPr>
          <w:b/>
          <w:color w:val="4A86E8"/>
          <w:sz w:val="24"/>
        </w:rPr>
        <w:t>Negative Articles</w:t>
      </w:r>
    </w:p>
    <w:p>
      <w:pPr>
        <w:pStyle w:val="ListBullet"/>
        <w:spacing w:after="40"/>
      </w:pPr>
      <w:r>
        <w:rPr>
          <w:sz w:val="24"/>
        </w:rPr>
        <w:t>Yemen's Houthis declare naval blockade on Saudi Arabia, widening threat to global oil supplies</w:t>
      </w:r>
    </w:p>
    <w:p>
      <w:pPr>
        <w:pStyle w:val="ListBullet"/>
        <w:spacing w:after="40"/>
      </w:pPr>
      <w:r>
        <w:rPr>
          <w:sz w:val="24"/>
        </w:rPr>
        <w:t>Gulf bourses retreat as US–Iran hostilities intensify</w:t>
      </w:r>
    </w:p>
    <w:p>
      <w:pPr>
        <w:spacing w:before="120" w:after="60"/>
      </w:pPr>
      <w:r>
        <w:rPr>
          <w:b/>
          <w:color w:val="4A86E8"/>
          <w:sz w:val="24"/>
        </w:rPr>
        <w:t>Global</w:t>
      </w:r>
    </w:p>
    <w:p>
      <w:pPr>
        <w:pStyle w:val="ListBullet"/>
        <w:spacing w:after="40"/>
      </w:pPr>
      <w:r>
        <w:rPr>
          <w:sz w:val="24"/>
        </w:rPr>
        <w:t>Nolan's 'The Odyssey' storms the box office with a $264.1 million global debut</w:t>
      </w:r>
    </w:p>
    <w:p>
      <w:pPr>
        <w:pStyle w:val="ListBullet"/>
        <w:spacing w:after="40"/>
      </w:pPr>
      <w:r>
        <w:rPr>
          <w:sz w:val="24"/>
        </w:rPr>
        <w:t>Union threatens strike action over working conditions in Venice museums due to extreme temperatures</w:t>
      </w:r>
    </w:p>
    <w:p>
      <w:pPr>
        <w:pStyle w:val="ListBullet"/>
        <w:spacing w:after="40"/>
      </w:pPr>
      <w:r>
        <w:rPr>
          <w:sz w:val="24"/>
        </w:rPr>
        <w:t>As Andy Burnham becomes the new UK prime minister, here are five key challenges facing his culture ministry</w:t>
      </w:r>
    </w:p>
    <w:p>
      <w:r>
        <w:br w:type="page"/>
      </w:r>
    </w:p>
    <w:p>
      <w:pPr>
        <w:spacing w:before="120" w:after="60"/>
      </w:pPr>
      <w:r>
        <w:rPr>
          <w:b/>
          <w:color w:val="4A86E8"/>
          <w:sz w:val="24"/>
        </w:rPr>
        <w:t>Saudi Arabia/Regional</w:t>
      </w:r>
    </w:p>
    <w:p>
      <w:pPr>
        <w:spacing w:before="80" w:after="20"/>
      </w:pPr>
      <w:r>
        <w:rPr>
          <w:b/>
          <w:color w:val="000000"/>
          <w:sz w:val="24"/>
        </w:rPr>
        <w:t>General (عام)</w:t>
      </w:r>
    </w:p>
    <w:p>
      <w:pPr>
        <w:pStyle w:val="ListBullet"/>
        <w:spacing w:after="40"/>
      </w:pPr>
      <w:r>
        <w:rPr>
          <w:b w:val="0"/>
        </w:rPr>
        <w:t>Riyadh Air has firmed up options on 28 further Boeing 787s — 20 of them converted to the larger 787-10 — plus six additional Airbus A350-1000s, announced at the Farnborough air show, taking its firm 787 commitment to 67 aircraft. Chief executive Tony Douglas framed the order as a step towards the carrier's goal of serving more than 100 international destinations by 2030. For the Ministry, the build-out of the Kingdom's aviation connectivity is the practical scaffolding beneath its cultural-tourism ambitions: heritage sites, festivals and museums only draw international visitors at scale if the flights to reach them exist. (</w:t>
      </w:r>
      <w:hyperlink r:id="rId9">
        <w:r>
          <w:rPr>
            <w:color w:val="0563C1"/>
            <w:u w:val="single"/>
            <w:rFonts w:ascii="Aptos" w:hAnsi="Aptos"/>
          </w:rPr>
          <w:t xml:space="preserve">FlightGlobal</w:t>
        </w:r>
      </w:hyperlink>
      <w:r>
        <w:rPr>
          <w:b w:val="0"/>
        </w:rPr>
        <w:t>)</w:t>
      </w:r>
    </w:p>
    <w:p>
      <w:pPr>
        <w:spacing w:before="80" w:after="20"/>
      </w:pPr>
      <w:r>
        <w:rPr>
          <w:b/>
          <w:color w:val="000000"/>
          <w:sz w:val="24"/>
        </w:rPr>
        <w:t>Fashion (الأزياء)</w:t>
      </w:r>
    </w:p>
    <w:p>
      <w:pPr>
        <w:pStyle w:val="ListBullet"/>
        <w:spacing w:after="40"/>
      </w:pPr>
      <w:r>
        <w:rPr>
          <w:b w:val="0"/>
        </w:rPr>
        <w:t>The Arab Fashion Council has appointed Amina Taher as its new chairwoman, citing her two decades of leadership across aviation, fintech, media and sport, including a spell building fashion-week partnerships at Etihad Airways. The pan-Arab body represents 22 Arab League nations and centres much of its activity on Dubai as a regional fashion hub. The appointment is useful benchmarking context for Saudi Arabia's own Fashion Commission and Riyadh Fashion Week as regional governance of the sector professionalises, though the Council's remit is regional rather than Saudi-specific and no Saudi involvement is stated. (</w:t>
      </w:r>
      <w:hyperlink r:id="rId10">
        <w:r>
          <w:rPr>
            <w:color w:val="0563C1"/>
            <w:u w:val="single"/>
            <w:rFonts w:ascii="Aptos" w:hAnsi="Aptos"/>
          </w:rPr>
          <w:t xml:space="preserve">FashionUnited</w:t>
        </w:r>
      </w:hyperlink>
      <w:r>
        <w:rPr>
          <w:b w:val="0"/>
        </w:rPr>
        <w:t>)</w:t>
      </w:r>
    </w:p>
    <w:p>
      <w:pPr>
        <w:spacing w:before="120" w:after="60"/>
      </w:pPr>
      <w:r>
        <w:rPr>
          <w:b/>
          <w:color w:val="4A86E8"/>
          <w:sz w:val="24"/>
        </w:rPr>
        <w:t>Negative Articles</w:t>
      </w:r>
    </w:p>
    <w:p>
      <w:pPr>
        <w:pStyle w:val="ListBullet"/>
        <w:spacing w:after="40"/>
      </w:pPr>
      <w:r>
        <w:rPr>
          <w:b w:val="0"/>
        </w:rPr>
        <w:t>Yemen's Iran-aligned Houthis declared an immediate maritime blockade against Saudi Arabia, framed as an "eye for an eye" response and targeting the Bab el-Mandeb gateway to the Red Sea; a full closure would choke most Saudi oil exports, and prices briefly rose above $90 a barrel on the announcement. Coming amid the wider US–Iran confrontation, the escalation is primarily a security and energy story, but it directly pressures the visitor-confidence and safe-participation narrative that international cultural engagement with the Kingdom depends on. (</w:t>
      </w:r>
      <w:hyperlink r:id="rId11">
        <w:r>
          <w:rPr>
            <w:color w:val="0563C1"/>
            <w:u w:val="single"/>
            <w:rFonts w:ascii="Aptos" w:hAnsi="Aptos"/>
          </w:rPr>
          <w:t xml:space="preserve">NBC News</w:t>
        </w:r>
      </w:hyperlink>
      <w:r>
        <w:rPr>
          <w:b w:val="0"/>
        </w:rPr>
        <w:t>)</w:t>
      </w:r>
    </w:p>
    <w:p>
      <w:pPr>
        <w:pStyle w:val="ListBullet"/>
        <w:spacing w:after="40"/>
      </w:pPr>
      <w:r>
        <w:rPr>
          <w:b w:val="0"/>
        </w:rPr>
        <w:t>Gulf equity markets retreated as intensifying US–Iran hostilities weighed on regional sentiment, with bourses across the region closing lower. The sell-off keeps the region's risk narrative near the top of international coverage, the backdrop against which any cultural-investment or tourism story now has to be read by overseas audiences. (</w:t>
      </w:r>
      <w:hyperlink r:id="rId12">
        <w:r>
          <w:rPr>
            <w:color w:val="0563C1"/>
            <w:u w:val="single"/>
            <w:rFonts w:ascii="Aptos" w:hAnsi="Aptos"/>
          </w:rPr>
          <w:t xml:space="preserve">Reuters</w:t>
        </w:r>
      </w:hyperlink>
      <w:r>
        <w:rPr>
          <w:b w:val="0"/>
        </w:rPr>
        <w:t>)</w:t>
      </w:r>
    </w:p>
    <w:p>
      <w:pPr>
        <w:spacing w:before="120" w:after="60"/>
      </w:pPr>
      <w:r>
        <w:rPr>
          <w:b/>
          <w:color w:val="4A86E8"/>
          <w:sz w:val="24"/>
        </w:rPr>
        <w:t>Global</w:t>
      </w:r>
    </w:p>
    <w:p>
      <w:pPr>
        <w:spacing w:before="80" w:after="20"/>
      </w:pPr>
      <w:r>
        <w:rPr>
          <w:b/>
          <w:color w:val="000000"/>
          <w:sz w:val="24"/>
        </w:rPr>
        <w:t>Film (الأفلام)</w:t>
      </w:r>
    </w:p>
    <w:p>
      <w:pPr>
        <w:pStyle w:val="ListBullet"/>
        <w:spacing w:after="40"/>
      </w:pPr>
      <w:r>
        <w:rPr>
          <w:b w:val="0"/>
        </w:rPr>
        <w:t>Christopher Nolan's "The Odyssey" opened to a reported $264.1 million worldwide, the director's biggest-ever global launch, in a release built around newly developed IMAX film technology. The scale of the opening underlines that premium, large-format theatrical experiences can still command mass global audiences — a relevant signal for Saudi Arabia as it continues to expand cinema exhibition and court international production, though the Ministry has no stated involvement in the film. (</w:t>
      </w:r>
      <w:hyperlink r:id="rId13">
        <w:r>
          <w:rPr>
            <w:color w:val="0563C1"/>
            <w:u w:val="single"/>
            <w:rFonts w:ascii="Aptos" w:hAnsi="Aptos"/>
          </w:rPr>
          <w:t xml:space="preserve">Associated Press</w:t>
        </w:r>
      </w:hyperlink>
      <w:r>
        <w:rPr>
          <w:b w:val="0"/>
        </w:rPr>
        <w:t>)</w:t>
      </w:r>
    </w:p>
    <w:p>
      <w:pPr>
        <w:spacing w:before="80" w:after="20"/>
      </w:pPr>
      <w:r>
        <w:rPr>
          <w:b/>
          <w:color w:val="000000"/>
          <w:sz w:val="24"/>
        </w:rPr>
        <w:t>Museums (المتاحف)</w:t>
      </w:r>
    </w:p>
    <w:p>
      <w:pPr>
        <w:pStyle w:val="ListBullet"/>
        <w:spacing w:after="40"/>
      </w:pPr>
      <w:r>
        <w:rPr>
          <w:b w:val="0"/>
        </w:rPr>
        <w:t>The USB union has opened a formal labour dispute over conditions at Venice's national museums, where it says temperatures have topped 30°C for long stretches — feeling closer to 40°C with humidity — amid broken cooling systems, raising the risk of heatstroke for staff and threatening strike action. Beyond Venice, it is a pointed reminder that climate stress is now an operational and duty-of-care issue for heritage institutions everywhere, directly relevant to how the Kingdom's desert-climate museums and open-air heritage sites plan for visitor and staff welfare. (</w:t>
      </w:r>
      <w:hyperlink r:id="rId14">
        <w:r>
          <w:rPr>
            <w:color w:val="0563C1"/>
            <w:u w:val="single"/>
            <w:rFonts w:ascii="Aptos" w:hAnsi="Aptos"/>
          </w:rPr>
          <w:t xml:space="preserve">The Art Newspaper</w:t>
        </w:r>
      </w:hyperlink>
      <w:r>
        <w:rPr>
          <w:b w:val="0"/>
        </w:rPr>
        <w:t>)</w:t>
      </w:r>
    </w:p>
    <w:p>
      <w:pPr>
        <w:spacing w:before="80" w:after="20"/>
      </w:pPr>
      <w:r>
        <w:rPr>
          <w:b/>
          <w:color w:val="000000"/>
          <w:sz w:val="24"/>
        </w:rPr>
        <w:t>General (عام)</w:t>
      </w:r>
    </w:p>
    <w:p>
      <w:pPr>
        <w:pStyle w:val="ListBullet"/>
        <w:spacing w:after="40"/>
      </w:pPr>
      <w:r>
        <w:rPr>
          <w:b w:val="0"/>
        </w:rPr>
        <w:t>With Andy Burnham installed as the new UK prime minister, The Art Newspaper set out five challenges facing his culture ministry: sustaining museum funding and free admission, redefining Arts Council England's role, reforming outdated restitution and deaccessioning law, shoring up artists' livelihoods, and protecting creators as AI and copyright collide. Several of these — especially the AI-and-copyright question and the restitution debate — mirror issues Saudi cultural institutions are themselves navigating, making the UK's policy choices a useful international reference point. (</w:t>
      </w:r>
      <w:hyperlink r:id="rId15">
        <w:r>
          <w:rPr>
            <w:color w:val="0563C1"/>
            <w:u w:val="single"/>
            <w:rFonts w:ascii="Aptos" w:hAnsi="Aptos"/>
          </w:rPr>
          <w:t xml:space="preserve">The Art Newspaper</w:t>
        </w:r>
      </w:hyperlink>
      <w:r>
        <w:rPr>
          <w:b w:val="0"/>
        </w:rPr>
        <w:t>)</w:t>
      </w:r>
    </w:p>
    <w:p>
      <w:r>
        <w:br w:type="page"/>
      </w:r>
    </w:p>
    <w:p>
      <w:pPr>
        <w:spacing w:before="120" w:after="60"/>
      </w:pPr>
      <w:r>
        <w:rPr>
          <w:b/>
          <w:color w:val="4A86E8"/>
          <w:sz w:val="24"/>
        </w:rPr>
        <w:t>Risks and Opportunities</w:t>
      </w:r>
    </w:p>
    <w:p>
      <w:pPr>
        <w:spacing w:before="80" w:after="20"/>
      </w:pPr>
      <w:r>
        <w:rPr>
          <w:b/>
          <w:color w:val="C00000"/>
          <w:sz w:val="24"/>
        </w:rPr>
        <w:t>Risks</w:t>
      </w:r>
    </w:p>
    <w:p>
      <w:r>
        <w:rPr>
          <w:b/>
          <w:color w:val="000000"/>
          <w:sz w:val="24"/>
        </w:rPr>
        <w:t>1. Regional security escalation threatens visitor confidence</w:t>
      </w:r>
    </w:p>
    <w:p>
      <w:r>
        <w:rPr>
          <w:sz w:val="24"/>
        </w:rPr>
        <w:t>The Houthi naval blockade declaration and the surrounding US–Iran confrontation put the Kingdom's security environment back at the centre of global coverage, precisely the kind of narrative that erodes confidence among international cultural visitors, touring artists and institutional partners weighing participation in Saudi programming.</w:t>
      </w:r>
    </w:p>
    <w:p>
      <w:pPr>
        <w:spacing w:after="60"/>
      </w:pPr>
      <w:r>
        <w:rPr>
          <w:b/>
          <w:sz w:val="24"/>
        </w:rPr>
        <w:t xml:space="preserve">Source: </w:t>
      </w:r>
      <w:hyperlink r:id="rId11">
        <w:r>
          <w:rPr>
            <w:color w:val="0563C1"/>
            <w:u w:val="single"/>
            <w:rFonts w:ascii="Aptos" w:hAnsi="Aptos"/>
          </w:rPr>
          <w:t xml:space="preserve">NBC News</w:t>
        </w:r>
      </w:hyperlink>
    </w:p>
    <w:p>
      <w:r>
        <w:rPr>
          <w:b/>
          <w:sz w:val="24"/>
        </w:rPr>
        <w:t xml:space="preserve">Consideration: </w:t>
      </w:r>
      <w:r>
        <w:rPr>
          <w:sz w:val="24"/>
        </w:rPr>
        <w:t>Keep the cultural-sector story deliberately distinct from the security narrative, foregrounding domestic and accessible programming, Saudi talent and institutional continuity, while ensuring any international participation is framed around clear, credible safety assurances.</w:t>
      </w:r>
    </w:p>
    <w:p>
      <w:r>
        <w:rPr>
          <w:b/>
          <w:color w:val="000000"/>
          <w:sz w:val="24"/>
        </w:rPr>
        <w:t>2. A war-dominated news cycle risks drowning out cultural achievement</w:t>
      </w:r>
    </w:p>
    <w:p>
      <w:r>
        <w:rPr>
          <w:sz w:val="24"/>
        </w:rPr>
        <w:t>With regional equities falling and oil and conflict headlines dominating, positive cultural developments are competing for attention against a heavy risk-and-markets narrative that shapes how overseas audiences currently read anything coming out of the region.</w:t>
      </w:r>
    </w:p>
    <w:p>
      <w:pPr>
        <w:spacing w:after="60"/>
      </w:pPr>
      <w:r>
        <w:rPr>
          <w:b/>
          <w:sz w:val="24"/>
        </w:rPr>
        <w:t xml:space="preserve">Source: </w:t>
      </w:r>
      <w:hyperlink r:id="rId12">
        <w:r>
          <w:rPr>
            <w:color w:val="0563C1"/>
            <w:u w:val="single"/>
            <w:rFonts w:ascii="Aptos" w:hAnsi="Aptos"/>
          </w:rPr>
          <w:t xml:space="preserve">Reuters</w:t>
        </w:r>
      </w:hyperlink>
    </w:p>
    <w:p>
      <w:r>
        <w:rPr>
          <w:b/>
          <w:sz w:val="24"/>
        </w:rPr>
        <w:t xml:space="preserve">Consideration: </w:t>
      </w:r>
      <w:r>
        <w:rPr>
          <w:sz w:val="24"/>
        </w:rPr>
        <w:t>Time major cultural announcements for calmer windows where possible and maintain a steady, evidence-led drumbeat of heritage, talent and public-access stories, rather than competing head-on with the security cycle.</w:t>
      </w:r>
    </w:p>
    <w:p>
      <w:pPr>
        <w:spacing w:before="80" w:after="20"/>
      </w:pPr>
      <w:r>
        <w:rPr>
          <w:b/>
          <w:color w:val="A66500"/>
          <w:sz w:val="24"/>
        </w:rPr>
        <w:t>Opportunities</w:t>
      </w:r>
    </w:p>
    <w:p>
      <w:r>
        <w:rPr>
          <w:b/>
          <w:color w:val="000000"/>
          <w:sz w:val="24"/>
        </w:rPr>
        <w:t>1. Connectivity build-out underpins the cultural-visitor economy</w:t>
      </w:r>
    </w:p>
    <w:p>
      <w:r>
        <w:rPr>
          <w:sz w:val="24"/>
        </w:rPr>
        <w:t>Riyadh Air's expanded widebody order and its stated push towards more than 100 international destinations by 2030 strengthen the connectivity that cultural tourism ultimately relies on, giving the sector concrete, near-term infrastructure to point to rather than aspiration alone.</w:t>
      </w:r>
    </w:p>
    <w:p>
      <w:pPr>
        <w:spacing w:after="60"/>
      </w:pPr>
      <w:r>
        <w:rPr>
          <w:b/>
          <w:sz w:val="24"/>
        </w:rPr>
        <w:t xml:space="preserve">Source: </w:t>
      </w:r>
      <w:hyperlink r:id="rId9">
        <w:r>
          <w:rPr>
            <w:color w:val="0563C1"/>
            <w:u w:val="single"/>
            <w:rFonts w:ascii="Aptos" w:hAnsi="Aptos"/>
          </w:rPr>
          <w:t xml:space="preserve">FlightGlobal</w:t>
        </w:r>
      </w:hyperlink>
    </w:p>
    <w:p>
      <w:r>
        <w:rPr>
          <w:b/>
          <w:sz w:val="24"/>
        </w:rPr>
        <w:t xml:space="preserve">Consideration: </w:t>
      </w:r>
      <w:r>
        <w:rPr>
          <w:sz w:val="24"/>
        </w:rPr>
        <w:t>The Ministry can connect connectivity milestones to a joined-up cultural-destination narrative — linking new routes to heritage sites, festivals and museum programming — so aviation and culture are told as one visitor-economy story rather than separate announcements.</w:t>
      </w:r>
    </w:p>
    <w:p>
      <w:r>
        <w:rPr>
          <w:b/>
          <w:color w:val="000000"/>
          <w:sz w:val="24"/>
        </w:rPr>
        <w:t>2. Regional and global cultural currents offer benchmarking openings</w:t>
      </w:r>
    </w:p>
    <w:p>
      <w:r>
        <w:rPr>
          <w:sz w:val="24"/>
        </w:rPr>
        <w:t>The renewal of Arab Fashion Council leadership and the record global opening of a premium, large-format cinema release both point to healthy demand in sectors the Kingdom is actively building — regional fashion governance and international-scale film exhibition.</w:t>
      </w:r>
    </w:p>
    <w:p>
      <w:pPr>
        <w:spacing w:after="60"/>
      </w:pPr>
      <w:r>
        <w:rPr>
          <w:b/>
          <w:sz w:val="24"/>
        </w:rPr>
        <w:t xml:space="preserve">Source: </w:t>
      </w:r>
      <w:hyperlink r:id="rId10">
        <w:r>
          <w:rPr>
            <w:color w:val="0563C1"/>
            <w:u w:val="single"/>
            <w:rFonts w:ascii="Aptos" w:hAnsi="Aptos"/>
          </w:rPr>
          <w:t xml:space="preserve">FashionUnited</w:t>
        </w:r>
      </w:hyperlink>
      <w:r>
        <w:rPr>
          <w:b w:val="0"/>
        </w:rPr>
        <w:t xml:space="preserve">, </w:t>
      </w:r>
      <w:hyperlink r:id="rId13">
        <w:r>
          <w:rPr>
            <w:color w:val="0563C1"/>
            <w:u w:val="single"/>
            <w:rFonts w:ascii="Aptos" w:hAnsi="Aptos"/>
          </w:rPr>
          <w:t xml:space="preserve">Associated Press</w:t>
        </w:r>
      </w:hyperlink>
    </w:p>
    <w:p>
      <w:r>
        <w:rPr>
          <w:b/>
          <w:sz w:val="24"/>
        </w:rPr>
        <w:t xml:space="preserve">Consideration: </w:t>
      </w:r>
      <w:r>
        <w:rPr>
          <w:sz w:val="24"/>
        </w:rPr>
        <w:t>Position the Fashion Commission and the Kingdom's cinema build-out within these wider currents, prioritising talent pathways, education and exhibition infrastructure so Saudi institutions are read as part of a maturing regional and global sector rather than isolated initiatives.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lightglobal.com/archive/2026/07/riyadh-air-to-take-787-10s-as-it-firms-up-dreamliner-and-a350-1000-options/" TargetMode="External"/><Relationship Id="rId10" Type="http://schemas.openxmlformats.org/officeDocument/2006/relationships/hyperlink" Target="https://fashionunited.com/news/people/arab-fashion-council-names-new-chairwoman/2026072073591" TargetMode="External"/><Relationship Id="rId11" Type="http://schemas.openxmlformats.org/officeDocument/2006/relationships/hyperlink" Target="https://www.nbcnews.com/world/middle-east/yemen-houthis-maritime-embargo-saudi-arabia-oil-rcna588345" TargetMode="External"/><Relationship Id="rId12" Type="http://schemas.openxmlformats.org/officeDocument/2006/relationships/hyperlink" Target="https://www.reuters.com/world/middle-east/gulf-bourses-retreat-usiran-hostilities-intensify-2026-07-19/" TargetMode="External"/><Relationship Id="rId13" Type="http://schemas.openxmlformats.org/officeDocument/2006/relationships/hyperlink" Target="https://apnews.com/article/odyssey-box-office-christopher-nolan-923bf602d99b1c9c4aeb462d377b59c4" TargetMode="External"/><Relationship Id="rId14" Type="http://schemas.openxmlformats.org/officeDocument/2006/relationships/hyperlink" Target="https://www.theartnewspaper.com/2026/07/20/union-threatens-strike-action-over-working-conditions-in-venice-museums-due-to-extreme-temperatures" TargetMode="External"/><Relationship Id="rId15" Type="http://schemas.openxmlformats.org/officeDocument/2006/relationships/hyperlink" Target="https://www.theartnewspaper.com/2026/07/20/as-andy-burnham-becomes-the-new-uk-prime-minister-here-are-five-key-challenges-facing-his-culture-minist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