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NoSpacing"/>
      </w:pPr>
      <w:r>
        <w:rPr>
          <w:b/>
          <w:color w:val="4A86E8"/>
        </w:rPr>
        <w:t>Headlines, 4 September 2026</w:t>
      </w:r>
    </w:p>
    <w:p>
      <w:pPr>
        <w:pStyle w:val="NoSpacing"/>
      </w:pPr>
    </w:p>
    <w:p>
      <w:pPr>
        <w:pStyle w:val="NoSpacing"/>
      </w:pPr>
      <w:r>
        <w:rPr>
          <w:b/>
          <w:color w:val="4A86E8"/>
        </w:rPr>
        <w:t>Saudi Arabia/Regional</w:t>
      </w:r>
    </w:p>
    <w:p>
      <w:pPr>
        <w:pStyle w:val="ListBullet"/>
      </w:pPr>
      <w:r>
        <w:t>Saudi Arabia promotes film production ecosystem at 83rd Venice Film Festival</w:t>
      </w:r>
    </w:p>
    <w:p>
      <w:pPr>
        <w:pStyle w:val="ListBullet"/>
      </w:pPr>
      <w:r>
        <w:t>What to Watch: Despite Conflict, Design Companies Remain Committed to the Middle East</w:t>
      </w:r>
    </w:p>
    <w:p>
      <w:pPr>
        <w:pStyle w:val="NoSpacing"/>
      </w:pPr>
    </w:p>
    <w:p>
      <w:pPr>
        <w:pStyle w:val="NoSpacing"/>
      </w:pPr>
      <w:r>
        <w:rPr>
          <w:b/>
          <w:color w:val="EE0000"/>
        </w:rPr>
        <w:t>Negative Articles</w:t>
      </w:r>
    </w:p>
    <w:p>
      <w:pPr>
        <w:pStyle w:val="ListBullet"/>
      </w:pPr>
      <w:r>
        <w:t>Two Filipino seafarers killed as Saudi tanker attacked in Hormuz</w:t>
      </w:r>
    </w:p>
    <w:p>
      <w:pPr>
        <w:pStyle w:val="ListBullet"/>
      </w:pPr>
      <w:r>
        <w:t>Saudi-UAE payment delays demand costly workarounds</w:t>
      </w:r>
    </w:p>
    <w:p>
      <w:pPr>
        <w:pStyle w:val="NoSpacing"/>
      </w:pPr>
    </w:p>
    <w:p>
      <w:pPr>
        <w:pStyle w:val="NoSpacing"/>
      </w:pPr>
      <w:r>
        <w:rPr>
          <w:b/>
          <w:color w:val="4A86E8"/>
        </w:rPr>
        <w:t>Global</w:t>
      </w:r>
    </w:p>
    <w:p>
      <w:pPr>
        <w:pStyle w:val="ListBullet"/>
      </w:pPr>
      <w:r>
        <w:t>Chinese Pavilion to boycott Gwangju Biennale</w:t>
      </w:r>
    </w:p>
    <w:p>
      <w:pPr>
        <w:pStyle w:val="ListBullet"/>
      </w:pPr>
      <w:r>
        <w:t>designboom's guide to Paris Design Week 2026: highlights in and out of Maison&amp;Objet</w:t>
      </w:r>
    </w:p>
    <w:p>
      <w:pPr>
        <w:pStyle w:val="ListBullet"/>
      </w:pPr>
      <w:r>
        <w:t>New York Fashion Week leans into American legacy brand revival</w:t>
      </w:r>
    </w:p>
    <w:p>
      <w:pPr>
        <w:pStyle w:val="ListBullet"/>
      </w:pPr>
      <w:r>
        <w:t>'Wild Horse Nine' gets Venice's first rapturous reception of 2026</w:t>
      </w:r>
    </w:p>
    <w:p>
      <w:pPr>
        <w:pStyle w:val="ListBullet"/>
      </w:pPr>
      <w:r>
        <w:t>'Everest: The Other Side' review: Everest climbing doc about grief</w:t>
      </w:r>
    </w:p>
    <w:p>
      <w:pPr>
        <w:pStyle w:val="NoSpacing"/>
      </w:pPr>
    </w:p>
    <w:p>
      <w:r>
        <w:br w:type="page"/>
      </w:r>
    </w:p>
    <w:p>
      <w:pPr>
        <w:pStyle w:val="NoSpacing"/>
      </w:pPr>
      <w:r>
        <w:rPr>
          <w:b/>
          <w:color w:val="4A86E8"/>
        </w:rPr>
        <w:t>Saudi Arabia/Regional</w:t>
      </w:r>
    </w:p>
    <w:p>
      <w:pPr>
        <w:pStyle w:val="NoSpacing"/>
      </w:pPr>
      <w:r>
        <w:rPr>
          <w:b/>
          <w:color w:val="000000"/>
        </w:rPr>
        <w:t>Film:</w:t>
      </w:r>
    </w:p>
    <w:p>
      <w:pPr>
        <w:pStyle w:val="ListBullet"/>
      </w:pPr>
      <w:r>
        <w:rPr>
          <w:b w:val="0"/>
        </w:rPr>
        <w:t>The Saudi Film Commission used the 83rd Venice International Film Festival to court international productions, promoting the Kingdom's expanded cash-rebate scheme — now worth up to 60 per cent of eligible spend — alongside its production infrastructure, financing support and range of filming locations. Pitching at a marquee European festival signals a deliberate effort to convert Saudi Arabia's incentive package into actual inbound production, positioning the Kingdom as a competitive base for global filmmakers rather than only a source of festival premieres. (</w:t>
      </w:r>
      <w:hyperlink r:id="rId9">
        <w:r>
          <w:rPr>
            <w:color w:val="0000FF"/>
            <w:u w:val="single"/>
            <w:rFonts w:ascii="Times New Roman" w:hAnsi="Times New Roman"/>
          </w:rPr>
          <w:t xml:space="preserve">BroadcastPro ME</w:t>
        </w:r>
      </w:hyperlink>
      <w:r>
        <w:rPr>
          <w:b w:val="0"/>
        </w:rPr>
        <w:t>)</w:t>
      </w:r>
    </w:p>
    <w:p>
      <w:pPr>
        <w:pStyle w:val="NoSpacing"/>
      </w:pPr>
      <w:r>
        <w:rPr>
          <w:b/>
          <w:color w:val="000000"/>
        </w:rPr>
        <w:t>Architecture and Design:</w:t>
      </w:r>
    </w:p>
    <w:p>
      <w:pPr>
        <w:pStyle w:val="ListBullet"/>
      </w:pPr>
      <w:r>
        <w:rPr>
          <w:b w:val="0"/>
        </w:rPr>
        <w:t>International design companies are holding to their Middle East expansion plans despite the regional conflict, with organisers in Riyadh, Dubai, Doha and Beirut telling WWD that major events remain on track and design firms preparing new Riyadh activity, including Salone del Mobile.Milano's first Saudi edition in the capital later this year. The continued commitment underlines how far Riyadh has moved up the global design sector's priorities and gives the Architecture and Design Commission a favourable backdrop as it builds out the Kingdom's design calendar. (</w:t>
      </w:r>
      <w:hyperlink r:id="rId10">
        <w:r>
          <w:rPr>
            <w:color w:val="0000FF"/>
            <w:u w:val="single"/>
            <w:rFonts w:ascii="Times New Roman" w:hAnsi="Times New Roman"/>
          </w:rPr>
          <w:t xml:space="preserve">WWD</w:t>
        </w:r>
      </w:hyperlink>
      <w:r>
        <w:rPr>
          <w:b w:val="0"/>
        </w:rPr>
        <w:t>)</w:t>
      </w:r>
    </w:p>
    <w:p>
      <w:pPr>
        <w:pStyle w:val="NoSpacing"/>
      </w:pPr>
    </w:p>
    <w:p>
      <w:pPr>
        <w:pStyle w:val="NoSpacing"/>
      </w:pPr>
      <w:r>
        <w:rPr>
          <w:b/>
          <w:color w:val="EE0000"/>
        </w:rPr>
        <w:t>Negative Articles</w:t>
      </w:r>
    </w:p>
    <w:p>
      <w:pPr>
        <w:pStyle w:val="ListBullet"/>
      </w:pPr>
      <w:r>
        <w:rPr>
          <w:b w:val="0"/>
        </w:rPr>
        <w:t>Two Filipino seafarers were killed when the Saudi-owned crude tanker Sidr was struck by projectiles near the Strait of Hormuz, an attack Riyadh has blamed on Iran amid the widening regional war. The incident keeps Saudi Arabia's energy-export and maritime-security exposure in international headlines and feeds a regional-instability narrative that can weigh on investor and visitor confidence even as the Kingdom promotes its cultural and tourism offer. (</w:t>
      </w:r>
      <w:hyperlink r:id="rId11">
        <w:r>
          <w:rPr>
            <w:color w:val="0000FF"/>
            <w:u w:val="single"/>
            <w:rFonts w:ascii="Times New Roman" w:hAnsi="Times New Roman"/>
          </w:rPr>
          <w:t xml:space="preserve">The Philippine Star</w:t>
        </w:r>
      </w:hyperlink>
      <w:r>
        <w:rPr>
          <w:b w:val="0"/>
        </w:rPr>
        <w:t>)</w:t>
      </w:r>
    </w:p>
    <w:p>
      <w:pPr>
        <w:pStyle w:val="ListBullet"/>
      </w:pPr>
      <w:r>
        <w:rPr>
          <w:b w:val="0"/>
        </w:rPr>
        <w:t>Companies moving money between Saudi Arabia and the UAE now face transfers that take days rather than hours, with payments delayed or returned as heightened US scrutiny over Iran-sanctions compliance forces costly workarounds, AGBI reports. Friction between the Gulf's two largest economies raises questions about the ease of doing business in the region at a moment when Saudi Arabia is working to reassure international investors and partners. (</w:t>
      </w:r>
      <w:hyperlink r:id="rId12">
        <w:r>
          <w:rPr>
            <w:color w:val="0000FF"/>
            <w:u w:val="single"/>
            <w:rFonts w:ascii="Times New Roman" w:hAnsi="Times New Roman"/>
          </w:rPr>
          <w:t xml:space="preserve">AGBI</w:t>
        </w:r>
      </w:hyperlink>
      <w:r>
        <w:rPr>
          <w:b w:val="0"/>
        </w:rPr>
        <w:t>)</w:t>
      </w:r>
    </w:p>
    <w:p>
      <w:pPr>
        <w:pStyle w:val="NoSpacing"/>
      </w:pPr>
    </w:p>
    <w:p>
      <w:pPr>
        <w:pStyle w:val="NoSpacing"/>
      </w:pPr>
      <w:r>
        <w:rPr>
          <w:b/>
          <w:color w:val="4A86E8"/>
        </w:rPr>
        <w:t>Global</w:t>
      </w:r>
    </w:p>
    <w:p>
      <w:pPr>
        <w:pStyle w:val="NoSpacing"/>
      </w:pPr>
      <w:r>
        <w:rPr>
          <w:b/>
          <w:color w:val="000000"/>
        </w:rPr>
        <w:t>Visual Arts:</w:t>
      </w:r>
    </w:p>
    <w:p>
      <w:pPr>
        <w:pStyle w:val="ListBullet"/>
      </w:pPr>
      <w:r>
        <w:rPr>
          <w:b w:val="0"/>
        </w:rPr>
        <w:t>The Chinese Pavilion has withdrawn from the 2026 Gwangju Biennale in protest at the event's restoration of the name "Taiwan Pavilion", with Beijing's embassy in Seoul backing the pull-out and the biennale foundation issuing a public apology days before the 5 September opening. The dispute is a reminder of how quickly national-pavilion politics can overshadow a major international art event — a live consideration for any country using biennale participation as cultural diplomacy. (</w:t>
      </w:r>
      <w:hyperlink r:id="rId13">
        <w:r>
          <w:rPr>
            <w:color w:val="0000FF"/>
            <w:u w:val="single"/>
            <w:rFonts w:ascii="Times New Roman" w:hAnsi="Times New Roman"/>
          </w:rPr>
          <w:t xml:space="preserve">ArtReview</w:t>
        </w:r>
      </w:hyperlink>
      <w:r>
        <w:rPr>
          <w:b w:val="0"/>
        </w:rPr>
        <w:t>)</w:t>
      </w:r>
    </w:p>
    <w:p>
      <w:pPr>
        <w:pStyle w:val="NoSpacing"/>
      </w:pPr>
      <w:r>
        <w:rPr>
          <w:b/>
          <w:color w:val="000000"/>
        </w:rPr>
        <w:t>Architecture and Design:</w:t>
      </w:r>
    </w:p>
    <w:p>
      <w:pPr>
        <w:pStyle w:val="ListBullet"/>
      </w:pPr>
      <w:r>
        <w:rPr>
          <w:b w:val="0"/>
        </w:rPr>
        <w:t>Paris Design Week opened its 2026 edition with hundreds of installations, showroom presentations and gallery events across the French capital alongside Maison&amp;Objet, with Valencia's Masquespacio serving as ambassador. The scale of the programme underlines the growing role of design weeks as cultural-tourism and soft-power platforms — a model Gulf cities are increasingly emulating with their own fairs. (</w:t>
      </w:r>
      <w:hyperlink r:id="rId14">
        <w:r>
          <w:rPr>
            <w:color w:val="0000FF"/>
            <w:u w:val="single"/>
            <w:rFonts w:ascii="Times New Roman" w:hAnsi="Times New Roman"/>
          </w:rPr>
          <w:t xml:space="preserve">designboom</w:t>
        </w:r>
      </w:hyperlink>
      <w:r>
        <w:rPr>
          <w:b w:val="0"/>
        </w:rPr>
        <w:t>)</w:t>
      </w:r>
    </w:p>
    <w:p>
      <w:pPr>
        <w:pStyle w:val="NoSpacing"/>
      </w:pPr>
      <w:r>
        <w:rPr>
          <w:b/>
          <w:color w:val="000000"/>
        </w:rPr>
        <w:t>Fashion:</w:t>
      </w:r>
    </w:p>
    <w:p>
      <w:pPr>
        <w:pStyle w:val="ListBullet"/>
      </w:pPr>
      <w:r>
        <w:rPr>
          <w:b w:val="0"/>
        </w:rPr>
        <w:t>New York Fashion Week's spring 2027 season is leaning heavily on the revival of American heritage labels, with houses such as Ralph Lauren and Coach riding renewed momentum and a closely watched creative relaunch at Calvin Klein, according to Reuters. The heritage-revival theme shows how established fashion identities are being reworked for younger global audiences — a dynamic relevant to emerging fashion markets building their own brand narratives. (</w:t>
      </w:r>
      <w:hyperlink r:id="rId15">
        <w:r>
          <w:rPr>
            <w:color w:val="0000FF"/>
            <w:u w:val="single"/>
            <w:rFonts w:ascii="Times New Roman" w:hAnsi="Times New Roman"/>
          </w:rPr>
          <w:t xml:space="preserve">Reuters</w:t>
        </w:r>
      </w:hyperlink>
      <w:r>
        <w:rPr>
          <w:b w:val="0"/>
        </w:rPr>
        <w:t>)</w:t>
      </w:r>
    </w:p>
    <w:p>
      <w:pPr>
        <w:pStyle w:val="NoSpacing"/>
      </w:pPr>
      <w:r>
        <w:rPr>
          <w:b/>
          <w:color w:val="000000"/>
        </w:rPr>
        <w:t>Film:</w:t>
      </w:r>
    </w:p>
    <w:p>
      <w:pPr>
        <w:pStyle w:val="ListBullet"/>
      </w:pPr>
      <w:r>
        <w:rPr>
          <w:b w:val="0"/>
        </w:rPr>
        <w:t>Martin McDonagh's "Wild Horse Nine" drew the Venice Film Festival's first rapturous standing ovation of 2026, with particular acclaim for John Malkovich in an ensemble set among the Moai statues of 1970s Easter Island. The reception cements Venice's role as the launchpad for the awards-season conversation and the calibre of festival platform that national film bodies increasingly compete to access. (</w:t>
      </w:r>
      <w:hyperlink r:id="rId16">
        <w:r>
          <w:rPr>
            <w:color w:val="0000FF"/>
            <w:u w:val="single"/>
            <w:rFonts w:ascii="Times New Roman" w:hAnsi="Times New Roman"/>
          </w:rPr>
          <w:t xml:space="preserve">The Hollywood Reporter</w:t>
        </w:r>
      </w:hyperlink>
      <w:r>
        <w:rPr>
          <w:b w:val="0"/>
        </w:rPr>
        <w:t>)</w:t>
      </w:r>
    </w:p>
    <w:p>
      <w:pPr>
        <w:pStyle w:val="ListBullet"/>
      </w:pPr>
      <w:r>
        <w:rPr>
          <w:b w:val="0"/>
        </w:rPr>
        <w:t>"Everest: The Other Side", the new documentary from "Free Solo" directors Elizabeth Chai Vasarhelyi and Jimmy Chin, premiered out of competition at Venice ahead of an October theatrical and IMAX release by National Geographic. The high-profile bow highlights the enduring festival appeal of large-format documentary storytelling, a form well suited to landscape- and heritage-rich destinations. (</w:t>
      </w:r>
      <w:hyperlink r:id="rId17">
        <w:r>
          <w:rPr>
            <w:color w:val="0000FF"/>
            <w:u w:val="single"/>
            <w:rFonts w:ascii="Times New Roman" w:hAnsi="Times New Roman"/>
          </w:rPr>
          <w:t xml:space="preserve">IndieWire</w:t>
        </w:r>
      </w:hyperlink>
      <w:r>
        <w:rPr>
          <w:b w:val="0"/>
        </w:rPr>
        <w:t>)</w:t>
      </w:r>
    </w:p>
    <w:p>
      <w:pPr>
        <w:pStyle w:val="NoSpacing"/>
      </w:pPr>
    </w:p>
    <w:p>
      <w:r>
        <w:br w:type="page"/>
      </w:r>
    </w:p>
    <w:p>
      <w:pPr>
        <w:pStyle w:val="NoSpacing"/>
      </w:pPr>
      <w:r>
        <w:rPr>
          <w:b/>
          <w:color w:val="4A86E8"/>
        </w:rPr>
        <w:t>Risks and Opportunities</w:t>
      </w:r>
    </w:p>
    <w:p>
      <w:pPr>
        <w:pStyle w:val="NoSpacing"/>
      </w:pPr>
    </w:p>
    <w:p>
      <w:pPr>
        <w:pStyle w:val="NoSpacing"/>
      </w:pPr>
      <w:r>
        <w:rPr>
          <w:b/>
          <w:color w:val="C00000"/>
        </w:rPr>
        <w:t>Risks</w:t>
      </w:r>
    </w:p>
    <w:p>
      <w:pPr>
        <w:pStyle w:val="NoSpacing"/>
      </w:pPr>
      <w:r>
        <w:rPr>
          <w:b/>
          <w:color w:val="000000"/>
        </w:rPr>
        <w:t>1. Regional war spillover keeps Saudi security and business-confidence risks in the headlines</w:t>
      </w:r>
    </w:p>
    <w:p>
      <w:pPr>
        <w:pStyle w:val="NoSpacing"/>
      </w:pPr>
      <w:r>
        <w:t>The Iran war's fallout is compounding on two fronts at once: a deadly strike on the Saudi-owned tanker Sidr near the Strait of Hormuz, which killed two Filipino crew and which Riyadh blames on Iran, and mounting Saudi-UAE payment friction as sanctions-compliance scrutiny slows cross-border transfers to a crawl. Together they build a backdrop of regional instability and economic friction that can bleed into how international audiences read the Kingdom's cultural and tourism ambitions.</w:t>
      </w:r>
    </w:p>
    <w:p>
      <w:pPr>
        <w:pStyle w:val="NoSpacing"/>
      </w:pPr>
      <w:r>
        <w:rPr>
          <w:b/>
        </w:rPr>
        <w:t xml:space="preserve">Source: </w:t>
      </w:r>
      <w:hyperlink r:id="rId11">
        <w:r>
          <w:rPr>
            <w:color w:val="0000FF"/>
            <w:u w:val="single"/>
            <w:rFonts w:ascii="Times New Roman" w:hAnsi="Times New Roman"/>
          </w:rPr>
          <w:t xml:space="preserve">The Philippine Star</w:t>
        </w:r>
      </w:hyperlink>
      <w:r>
        <w:rPr>
          <w:b w:val="0"/>
        </w:rPr>
        <w:t xml:space="preserve">, </w:t>
      </w:r>
      <w:hyperlink r:id="rId12">
        <w:r>
          <w:rPr>
            <w:color w:val="0000FF"/>
            <w:u w:val="single"/>
            <w:rFonts w:ascii="Times New Roman" w:hAnsi="Times New Roman"/>
          </w:rPr>
          <w:t xml:space="preserve">AGBI</w:t>
        </w:r>
      </w:hyperlink>
    </w:p>
    <w:p>
      <w:pPr>
        <w:pStyle w:val="NoSpacing"/>
      </w:pPr>
      <w:r>
        <w:rPr>
          <w:b/>
        </w:rPr>
        <w:t xml:space="preserve">Consideration: </w:t>
      </w:r>
      <w:r>
        <w:t>Keep the Ministry's cultural narrative — festival participation, heritage stewardship and creative-economy delivery — visibly distinct from the security and macro-economic risk story, anchoring communications in tangible cultural delivery and international collaboration rather than the conflict backdrop.</w:t>
      </w:r>
    </w:p>
    <w:p>
      <w:pPr>
        <w:pStyle w:val="NoSpacing"/>
      </w:pPr>
    </w:p>
    <w:p>
      <w:pPr>
        <w:pStyle w:val="NoSpacing"/>
      </w:pPr>
      <w:r>
        <w:rPr>
          <w:b/>
          <w:color w:val="A66500"/>
        </w:rPr>
        <w:t>Opportunities</w:t>
      </w:r>
    </w:p>
    <w:p>
      <w:pPr>
        <w:pStyle w:val="NoSpacing"/>
      </w:pPr>
      <w:r>
        <w:rPr>
          <w:b/>
          <w:color w:val="000000"/>
        </w:rPr>
        <w:t>1. Saudi creative sectors sustain international momentum despite regional headwinds</w:t>
      </w:r>
    </w:p>
    <w:p>
      <w:pPr>
        <w:pStyle w:val="NoSpacing"/>
      </w:pPr>
      <w:r>
        <w:t>Even against the conflict backdrop, the Kingdom's creative economy is advancing on its own track: the Film Commission is pitching Saudi Arabia's enhanced production incentives at Venice, while global design houses are holding to their Riyadh expansion plans and a first Saudi edition of Salone del Mobile.Milano remains scheduled for the capital. The two strands point to a creative sector building genuine international traction rather than pausing for the regional picture.</w:t>
      </w:r>
    </w:p>
    <w:p>
      <w:pPr>
        <w:pStyle w:val="NoSpacing"/>
      </w:pPr>
      <w:r>
        <w:rPr>
          <w:b/>
        </w:rPr>
        <w:t xml:space="preserve">Source: </w:t>
      </w:r>
      <w:hyperlink r:id="rId9">
        <w:r>
          <w:rPr>
            <w:color w:val="0000FF"/>
            <w:u w:val="single"/>
            <w:rFonts w:ascii="Times New Roman" w:hAnsi="Times New Roman"/>
          </w:rPr>
          <w:t xml:space="preserve">BroadcastPro ME</w:t>
        </w:r>
      </w:hyperlink>
      <w:r>
        <w:rPr>
          <w:b w:val="0"/>
        </w:rPr>
        <w:t xml:space="preserve">, </w:t>
      </w:r>
      <w:hyperlink r:id="rId10">
        <w:r>
          <w:rPr>
            <w:color w:val="0000FF"/>
            <w:u w:val="single"/>
            <w:rFonts w:ascii="Times New Roman" w:hAnsi="Times New Roman"/>
          </w:rPr>
          <w:t xml:space="preserve">WWD</w:t>
        </w:r>
      </w:hyperlink>
    </w:p>
    <w:p>
      <w:pPr>
        <w:pStyle w:val="NoSpacing"/>
      </w:pPr>
      <w:r>
        <w:rPr>
          <w:b/>
        </w:rPr>
        <w:t xml:space="preserve">Consideration: </w:t>
      </w:r>
      <w:r>
        <w:t>Connect these threads into one non-oil creative-economy story — film-production incentives, design investment and festival participation — rather than treating them as isolated announcements, foregrounding Saudi talent and institutional delivery to reinforce the Kingdom's cultural credibility with international partners.</w:t>
      </w:r>
    </w:p>
    <w:p>
      <w:pPr>
        <w:pStyle w:val="NoSpacing"/>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oadcastprome.com/news/saudi-arabia-promotes-film-production-ecosystem-at-83rd-venice-film-festival/" TargetMode="External"/><Relationship Id="rId10" Type="http://schemas.openxmlformats.org/officeDocument/2006/relationships/hyperlink" Target="https://ca.finance.yahoo.com/news/watch-despite-conflict-design-companies-050000524.html" TargetMode="External"/><Relationship Id="rId11" Type="http://schemas.openxmlformats.org/officeDocument/2006/relationships/hyperlink" Target="https://www.philstar.com/headlines/2026/09/03/2553745/two-filipino-seafarers-killed-saudi-tanker-attacked-hormuz" TargetMode="External"/><Relationship Id="rId12" Type="http://schemas.openxmlformats.org/officeDocument/2006/relationships/hyperlink" Target="https://www.agbi.com/analysis/banking-finance/2026/09/saudi-uae-payment-delays-demand-costly-workarounds/" TargetMode="External"/><Relationship Id="rId13" Type="http://schemas.openxmlformats.org/officeDocument/2006/relationships/hyperlink" Target="https://artreview.com/chinese-pavilion-to-boycott-gwangju-biennale/" TargetMode="External"/><Relationship Id="rId14" Type="http://schemas.openxmlformats.org/officeDocument/2006/relationships/hyperlink" Target="https://www.designboom.com/design/designboom-guide-paris-design-week-2026-highlights-maisonobjet/" TargetMode="External"/><Relationship Id="rId15" Type="http://schemas.openxmlformats.org/officeDocument/2006/relationships/hyperlink" Target="https://www.investing.com/news/stock-market-news/new-york-fashion-week-leans-into-american-legacy-brand-revival-4888390" TargetMode="External"/><Relationship Id="rId16" Type="http://schemas.openxmlformats.org/officeDocument/2006/relationships/hyperlink" Target="https://www.hollywoodreporter.com/movies/movie-news/wild-horse-nine-venice-first-rapturous-reception-2026-1236689493/" TargetMode="External"/><Relationship Id="rId17" Type="http://schemas.openxmlformats.org/officeDocument/2006/relationships/hyperlink" Target="https://www.indiewire.com/criticism/movies/everest-the-other-side-review-everest-climbing-doc-123521453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