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12 August 2026</w:t>
      </w:r>
    </w:p>
    <w:p>
      <w:pPr>
        <w:pStyle w:val="NoSpacing"/>
      </w:pPr>
    </w:p>
    <w:p>
      <w:pPr>
        <w:pStyle w:val="NoSpacing"/>
      </w:pPr>
      <w:r>
        <w:rPr>
          <w:b/>
          <w:color w:val="4A86E8"/>
        </w:rPr>
        <w:t>Saudi Arabia/Regional</w:t>
      </w:r>
    </w:p>
    <w:p>
      <w:pPr>
        <w:pStyle w:val="ListBullet"/>
      </w:pPr>
      <w:r>
        <w:t>Turkey-Pakistan-Saudi pact a 'Muslim NATO'?: 5 things to know</w:t>
      </w:r>
    </w:p>
    <w:p>
      <w:pPr>
        <w:pStyle w:val="ListBullet"/>
      </w:pPr>
      <w:r>
        <w:t>Four Killed in Houthi Strike on Red Sea Ship, Yemeni Government Says</w:t>
      </w:r>
    </w:p>
    <w:p>
      <w:pPr>
        <w:pStyle w:val="ListBullet"/>
      </w:pPr>
      <w:r>
        <w:t>Saudi data center capacity projected to boom, but financing a challenge</w:t>
      </w:r>
    </w:p>
    <w:p>
      <w:pPr>
        <w:pStyle w:val="ListBullet"/>
      </w:pPr>
      <w:r>
        <w:t>Ades confirms all offshore rigs in Saudi Arabia are operational</w:t>
      </w:r>
    </w:p>
    <w:p>
      <w:pPr>
        <w:pStyle w:val="NoSpacing"/>
      </w:pPr>
    </w:p>
    <w:p>
      <w:pPr>
        <w:pStyle w:val="NoSpacing"/>
      </w:pPr>
      <w:r>
        <w:rPr>
          <w:b/>
          <w:color w:val="EE0000"/>
        </w:rPr>
        <w:t>Negative Articles</w:t>
      </w:r>
    </w:p>
    <w:p>
      <w:pPr>
        <w:pStyle w:val="ListBullet"/>
      </w:pPr>
      <w:r>
        <w:t>Six killed in Houthi attack on Bab al-Mandeb ship, Yemen's government says</w:t>
      </w:r>
    </w:p>
    <w:p>
      <w:pPr>
        <w:pStyle w:val="ListBullet"/>
      </w:pPr>
      <w:r>
        <w:t>Saudi defence pact with Turkey and Pakistan sparks UAE backlash</w:t>
      </w:r>
    </w:p>
    <w:p>
      <w:pPr>
        <w:pStyle w:val="NoSpacing"/>
      </w:pPr>
    </w:p>
    <w:p>
      <w:pPr>
        <w:pStyle w:val="NoSpacing"/>
      </w:pPr>
      <w:r>
        <w:rPr>
          <w:b/>
          <w:color w:val="4A86E8"/>
        </w:rPr>
        <w:t>Global</w:t>
      </w:r>
    </w:p>
    <w:p>
      <w:pPr>
        <w:pStyle w:val="ListBullet"/>
      </w:pPr>
      <w:r>
        <w:t>Bottoms up: vast Roman shipwreck filled with ancient wine amphoras discovered near Sicily</w:t>
      </w:r>
    </w:p>
    <w:p>
      <w:pPr>
        <w:pStyle w:val="ListBullet"/>
      </w:pPr>
      <w:r>
        <w:t>Earthquake damages Colombia's tallest church</w:t>
      </w:r>
    </w:p>
    <w:p>
      <w:pPr>
        <w:pStyle w:val="ListBullet"/>
      </w:pPr>
      <w:r>
        <w:t>Russia Has Damaged or Destroyed Over 4,500 Cultural Sites in Ukraine</w:t>
      </w:r>
    </w:p>
    <w:p>
      <w:pPr>
        <w:pStyle w:val="ListBullet"/>
      </w:pPr>
      <w:r>
        <w:t>San Diego Museum of Art Lays Off 11 Workers</w:t>
      </w:r>
    </w:p>
    <w:p>
      <w:pPr>
        <w:pStyle w:val="ListBullet"/>
      </w:pPr>
      <w:r>
        <w:t>'Stopping while we're ahead': London gallery Sid Motion to shut after a decade</w:t>
      </w:r>
    </w:p>
    <w:p>
      <w:pPr>
        <w:pStyle w:val="ListBullet"/>
      </w:pPr>
      <w:r>
        <w:t>Maori Karmael Holmes Looks Back on 15 Years of BlackStar</w:t>
      </w:r>
    </w:p>
    <w:p>
      <w:pPr>
        <w:pStyle w:val="ListBullet"/>
      </w:pPr>
      <w:r>
        <w:t>Peter Zumthor's Architecture Takes Center Stage in Wim Wenders' New Film "From Inside Out"</w:t>
      </w:r>
    </w:p>
    <w:p>
      <w:pPr>
        <w:pStyle w:val="ListBullet"/>
      </w:pPr>
      <w:r>
        <w:t>ATG Entertainment agrees sale to global events firm Mari</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Turkey and Pakistan agreed a mutual-defence pact at a summit in Mecca on 7 August, a realignment some analysts have dubbed a "Muslim NATO", though its operational details remain undisclosed. For the Kingdom the pact signals a widening strategic posture beyond the Gulf at a moment of acute regional tension, and places Mecca and Saudi convening power at the centre of a prospective new security bloc that Egypt, Qatar and others could later join. (</w:t>
      </w:r>
      <w:hyperlink r:id="rId9">
        <w:r>
          <w:rPr>
            <w:color w:val="0000FF"/>
            <w:u w:val="single"/>
            <w:rFonts w:ascii="Times New Roman" w:hAnsi="Times New Roman"/>
          </w:rPr>
          <w:t xml:space="preserve">Nikkei Asia</w:t>
        </w:r>
      </w:hyperlink>
      <w:r>
        <w:rPr>
          <w:b w:val="0"/>
        </w:rPr>
        <w:t>)</w:t>
      </w:r>
    </w:p>
    <w:p>
      <w:pPr>
        <w:pStyle w:val="ListBullet"/>
      </w:pPr>
      <w:r>
        <w:rPr>
          <w:b w:val="0"/>
        </w:rPr>
        <w:t>A Houthi missile strike on a cargo vessel in the Red Sea killed at least four crew, according to Yemen's internationally recognised government, in what has been reported as the first fatal attack on shipping since the Iran war began, though casualty figures and the ship's ownership were still contested in early reporting. The escalation around the Bab al-Mandeb strait, a chokepoint on the Kingdom's western maritime approaches, underlines the security backdrop against which Saudi Arabia is projecting cultural and economic stability. (</w:t>
      </w:r>
      <w:hyperlink r:id="rId10">
        <w:r>
          <w:rPr>
            <w:color w:val="0000FF"/>
            <w:u w:val="single"/>
            <w:rFonts w:ascii="Times New Roman" w:hAnsi="Times New Roman"/>
          </w:rPr>
          <w:t xml:space="preserve">The New York Times</w:t>
        </w:r>
      </w:hyperlink>
      <w:r>
        <w:rPr>
          <w:b w:val="0"/>
        </w:rPr>
        <w:t>)</w:t>
      </w:r>
    </w:p>
    <w:p>
      <w:pPr>
        <w:pStyle w:val="ListBullet"/>
      </w:pPr>
      <w:r>
        <w:rPr>
          <w:b w:val="0"/>
        </w:rPr>
        <w:t>Saudi Arabia's data-centre capacity is projected to reach one gigawatt by 2030, the Gulf's fastest-growing market, with the Public Investment Fund's HUMAIN venture targeting more than six gigawatts over the decade, though Semafor notes the buildout could require up to $32bn in debt beyond domestic banks' capacity alone. The scale of the digital-infrastructure push reinforces the Vision 2030 non-oil growth narrative that underpins the Kingdom's parallel investment in cultural and creative industries. (</w:t>
      </w:r>
      <w:hyperlink r:id="rId11">
        <w:r>
          <w:rPr>
            <w:color w:val="0000FF"/>
            <w:u w:val="single"/>
            <w:rFonts w:ascii="Times New Roman" w:hAnsi="Times New Roman"/>
          </w:rPr>
          <w:t xml:space="preserve">Semafor</w:t>
        </w:r>
      </w:hyperlink>
      <w:r>
        <w:rPr>
          <w:b w:val="0"/>
        </w:rPr>
        <w:t>)</w:t>
      </w:r>
    </w:p>
    <w:p>
      <w:pPr>
        <w:pStyle w:val="ListBullet"/>
      </w:pPr>
      <w:r>
        <w:rPr>
          <w:b w:val="0"/>
        </w:rPr>
        <w:t>Ades Holding, Saudi Arabia's largest oil-services driller, said all of its offshore rigs in the Kingdom — suspended earlier in the year amid the regional conflict — have resumed full operations, according to AGBI. The return to normal operations is a marker of economic resilience the Kingdom can point to as it maintains momentum on diversification and cultural-sector delivery despite the regional security climate. (</w:t>
      </w:r>
      <w:hyperlink r:id="rId12">
        <w:r>
          <w:rPr>
            <w:color w:val="0000FF"/>
            <w:u w:val="single"/>
            <w:rFonts w:ascii="Times New Roman" w:hAnsi="Times New Roman"/>
          </w:rPr>
          <w:t xml:space="preserve">AGBI</w:t>
        </w:r>
      </w:hyperlink>
      <w:r>
        <w:rPr>
          <w:b w:val="0"/>
        </w:rPr>
        <w:t>)</w:t>
      </w:r>
    </w:p>
    <w:p>
      <w:pPr>
        <w:pStyle w:val="NoSpacing"/>
      </w:pPr>
    </w:p>
    <w:p>
      <w:pPr>
        <w:pStyle w:val="NoSpacing"/>
      </w:pPr>
      <w:r>
        <w:rPr>
          <w:b/>
          <w:color w:val="EE0000"/>
        </w:rPr>
        <w:t>Negative Articles</w:t>
      </w:r>
    </w:p>
    <w:p>
      <w:pPr>
        <w:pStyle w:val="ListBullet"/>
      </w:pPr>
      <w:r>
        <w:rPr>
          <w:b w:val="0"/>
        </w:rPr>
        <w:t>Al Jazeera reported that at least six people were killed in a Houthi "double-tap" missile strike on the Egyptian-owned cargo vessel Tihamah in the Bab al-Mandeb strait, framing the incident within a "cycle of mutual military escalation" and attributing the collapse of an earlier lull to a reported Saudi air strike on the runway of Sanaa airport. The framing — from a Qatari state-funded broadcaster whose coverage of Gulf security should not be read as neutral — casts Saudi military action as the proximate trigger rather than the Kingdom as a passive party, a narrative the Ministry should note is circulating alongside the factual event. (</w:t>
      </w:r>
      <w:hyperlink r:id="rId13">
        <w:r>
          <w:rPr>
            <w:color w:val="0000FF"/>
            <w:u w:val="single"/>
            <w:rFonts w:ascii="Times New Roman" w:hAnsi="Times New Roman"/>
          </w:rPr>
          <w:t xml:space="preserve">Al Jazeera</w:t>
        </w:r>
      </w:hyperlink>
      <w:r>
        <w:rPr>
          <w:b w:val="0"/>
        </w:rPr>
        <w:t>)</w:t>
      </w:r>
    </w:p>
    <w:p>
      <w:pPr>
        <w:pStyle w:val="ListBullet"/>
      </w:pPr>
      <w:r>
        <w:rPr>
          <w:b w:val="0"/>
        </w:rPr>
        <w:t>Middle East Eye reported that prominent Emirati figures have publicly criticised Saudi Arabia's new defence pact with Turkey and Pakistan, questioning whether Riyadh is loosening its commitment to Gulf unity. The story — from an outlet whose funding is opaque and widely linked to Qatar, giving it an interest in amplifying Saudi–UAE friction — nonetheless points to a genuine reputational sensitivity around how the pact is read by the Kingdom's closest neighbour. (</w:t>
      </w:r>
      <w:hyperlink r:id="rId14">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Italian divers have discovered a Roman shipwreck from the 2nd–1st century BC laden with hundreds of wine amphorae off Mazara del Vallo in Sicily, described by Italy's culture ministry as one of the most significant underwater finds in years, according to The Art Newspaper. The discovery is a reminder of the scholarly and public appetite for maritime archaeology, a field directly relevant to Saudi Arabia's own Red Sea underwater-heritage and coastal-excavation ambitions. (</w:t>
      </w:r>
      <w:hyperlink r:id="rId15">
        <w:r>
          <w:rPr>
            <w:color w:val="0000FF"/>
            <w:u w:val="single"/>
            <w:rFonts w:ascii="Times New Roman" w:hAnsi="Times New Roman"/>
          </w:rPr>
          <w:t xml:space="preserve">The Art Newspaper</w:t>
        </w:r>
      </w:hyperlink>
      <w:r>
        <w:rPr>
          <w:b w:val="0"/>
        </w:rPr>
        <w:t>)</w:t>
      </w:r>
    </w:p>
    <w:p>
      <w:pPr>
        <w:pStyle w:val="ListBullet"/>
      </w:pPr>
      <w:r>
        <w:rPr>
          <w:b w:val="0"/>
        </w:rPr>
        <w:t>A 7.4-magnitude earthquake in western Colombia collapsed a tower of the Neo-Gothic Manizales Cathedral, the country's tallest church, causing serious damage to a major heritage site, The Art Newspaper reported. The event highlights the vulnerability of built heritage to natural disaster and the value of structural monitoring and disaster preparedness, considerations increasingly relevant as the Kingdom expands its own portfolio of heritage sites and museums. (</w:t>
      </w:r>
      <w:hyperlink r:id="rId16">
        <w:r>
          <w:rPr>
            <w:color w:val="0000FF"/>
            <w:u w:val="single"/>
            <w:rFonts w:ascii="Times New Roman" w:hAnsi="Times New Roman"/>
          </w:rPr>
          <w:t xml:space="preserve">The Art Newspaper</w:t>
        </w:r>
      </w:hyperlink>
      <w:r>
        <w:rPr>
          <w:b w:val="0"/>
        </w:rPr>
        <w:t>)</w:t>
      </w:r>
    </w:p>
    <w:p>
      <w:pPr>
        <w:pStyle w:val="ListBullet"/>
      </w:pPr>
      <w:r>
        <w:rPr>
          <w:b w:val="0"/>
        </w:rPr>
        <w:t>Ukraine's culture ministry says roughly 4,615 cultural sites have been damaged or destroyed since Russia's invasion, including 141 museums and galleries and several UNESCO-listed properties, according to Hyperallergic. The tally underscores how heritage becomes a casualty of conflict and reinforces the international premium on heritage stewardship, a space in which Saudi Arabia has been positioning itself through preservation investment at AlUla, Diriyah and elsewhere. (</w:t>
      </w:r>
      <w:hyperlink r:id="rId17">
        <w:r>
          <w:rPr>
            <w:color w:val="0000FF"/>
            <w:u w:val="single"/>
            <w:rFonts w:ascii="Times New Roman" w:hAnsi="Times New Roman"/>
          </w:rPr>
          <w:t xml:space="preserve">Hyperallergic</w:t>
        </w:r>
      </w:hyperlink>
      <w:r>
        <w:rPr>
          <w:b w:val="0"/>
        </w:rPr>
        <w:t>)</w:t>
      </w:r>
    </w:p>
    <w:p>
      <w:pPr>
        <w:pStyle w:val="NoSpacing"/>
      </w:pPr>
      <w:r>
        <w:rPr>
          <w:b/>
          <w:color w:val="000000"/>
        </w:rPr>
        <w:t>Museums:</w:t>
      </w:r>
    </w:p>
    <w:p>
      <w:pPr>
        <w:pStyle w:val="ListBullet"/>
      </w:pPr>
      <w:r>
        <w:rPr>
          <w:b w:val="0"/>
        </w:rPr>
        <w:t>The San Diego Museum of Art has laid off 11 staff across programming, development, exhibitions and operations, six months after its centenary, citing rising costs, Hyperallergic reported. The cuts are part of a broader pattern of financial strain among Western museums, an instructive contrast with the well-resourced institution-building underway across the Gulf. (</w:t>
      </w:r>
      <w:hyperlink r:id="rId18">
        <w:r>
          <w:rPr>
            <w:color w:val="0000FF"/>
            <w:u w:val="single"/>
            <w:rFonts w:ascii="Times New Roman" w:hAnsi="Times New Roman"/>
          </w:rPr>
          <w:t xml:space="preserve">Hyperallergic</w:t>
        </w:r>
      </w:hyperlink>
      <w:r>
        <w:rPr>
          <w:b w:val="0"/>
        </w:rPr>
        <w:t>)</w:t>
      </w:r>
    </w:p>
    <w:p>
      <w:pPr>
        <w:pStyle w:val="NoSpacing"/>
      </w:pPr>
      <w:r>
        <w:rPr>
          <w:b/>
          <w:color w:val="000000"/>
        </w:rPr>
        <w:t>Visual Arts:</w:t>
      </w:r>
    </w:p>
    <w:p>
      <w:pPr>
        <w:pStyle w:val="ListBullet"/>
      </w:pPr>
      <w:r>
        <w:rPr>
          <w:b w:val="0"/>
        </w:rPr>
        <w:t>The London commercial gallery Sid Motion will close this autumn after a decade, its founder framing the decision as "stopping while we're ahead" amid a wider wave of gallery closures in the capital, according to The Art Newspaper. The pressure on mid-tier Western galleries speaks to a shifting global art-market geography that the Kingdom's emerging gallery and biennale ecosystem is entering at an opportune moment.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Hyperallergic marked 15 years of Philadelphia's BlackStar Film Festival with an interview with founder Maori Karmael Holmes, charting its growth into a broader platform for Black, Brown and Indigenous filmmakers. The festival's trajectory illustrates how a distinctive curatorial identity can build durable cultural infrastructure, a model of relevance as Saudi Arabia develops its own film festivals and funding programmes. (</w:t>
      </w:r>
      <w:hyperlink r:id="rId20">
        <w:r>
          <w:rPr>
            <w:color w:val="0000FF"/>
            <w:u w:val="single"/>
            <w:rFonts w:ascii="Times New Roman" w:hAnsi="Times New Roman"/>
          </w:rPr>
          <w:t xml:space="preserve">Hyperallergic</w:t>
        </w:r>
      </w:hyperlink>
      <w:r>
        <w:rPr>
          <w:b w:val="0"/>
        </w:rPr>
        <w:t>)</w:t>
      </w:r>
    </w:p>
    <w:p>
      <w:pPr>
        <w:pStyle w:val="NoSpacing"/>
      </w:pPr>
      <w:r>
        <w:rPr>
          <w:b/>
          <w:color w:val="000000"/>
        </w:rPr>
        <w:t>Architecture and Design:</w:t>
      </w:r>
    </w:p>
    <w:p>
      <w:pPr>
        <w:pStyle w:val="ListBullet"/>
      </w:pPr>
      <w:r>
        <w:rPr>
          <w:b w:val="0"/>
        </w:rPr>
        <w:t>Wim Wenders' new 3D documentary on the Pritzker-winning architect Peter Zumthor, "From Inside Out", will premiere at the Venice Film Festival in September, ArchDaily reported. The pairing of a major filmmaker with a contemplative architect signals the growing cultural currency of architecture-as-storytelling, an intersection the Kingdom's design and film commissions could both draw on. (</w:t>
      </w:r>
      <w:hyperlink r:id="rId21">
        <w:r>
          <w:rPr>
            <w:color w:val="0000FF"/>
            <w:u w:val="single"/>
            <w:rFonts w:ascii="Times New Roman" w:hAnsi="Times New Roman"/>
          </w:rPr>
          <w:t xml:space="preserve">ArchDaily</w:t>
        </w:r>
      </w:hyperlink>
      <w:r>
        <w:rPr>
          <w:b w:val="0"/>
        </w:rPr>
        <w:t>)</w:t>
      </w:r>
    </w:p>
    <w:p>
      <w:pPr>
        <w:pStyle w:val="NoSpacing"/>
      </w:pPr>
      <w:r>
        <w:rPr>
          <w:b/>
          <w:color w:val="000000"/>
        </w:rPr>
        <w:t>Theatre and Performing Arts:</w:t>
      </w:r>
    </w:p>
    <w:p>
      <w:pPr>
        <w:pStyle w:val="ListBullet"/>
      </w:pPr>
      <w:r>
        <w:rPr>
          <w:b w:val="0"/>
        </w:rPr>
        <w:t>ATG Entertainment, operator of some 70 venues including West End and Broadway theatres, has agreed a sale to Ariel Emanuel's events firm Mari, The Stage reported. The consolidation of major live-performance assets under a global events group reflects the increasing convergence of theatre, live entertainment and experiential business, a dynamic relevant to Saudi Arabia's fast-expanding live-events and performing-arts sector. (</w:t>
      </w:r>
      <w:hyperlink r:id="rId22">
        <w:r>
          <w:rPr>
            <w:color w:val="0000FF"/>
            <w:u w:val="single"/>
            <w:rFonts w:ascii="Times New Roman" w:hAnsi="Times New Roman"/>
          </w:rPr>
          <w:t xml:space="preserve">The Stage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clouds the stability narrative</w:t>
      </w:r>
    </w:p>
    <w:p>
      <w:pPr>
        <w:pStyle w:val="NoSpacing"/>
      </w:pPr>
      <w:r>
        <w:t>The fatal Houthi strike around the Bab al-Mandeb strait and the wider Iran-war backdrop keep the Kingdom's western maritime approaches and regional security in international headlines, a climate that can seep into perceptions of travel and cultural-tourism safety even when cultural programming itself is unaffected.</w:t>
      </w:r>
    </w:p>
    <w:p>
      <w:pPr>
        <w:pStyle w:val="NoSpacing"/>
      </w:pPr>
      <w:r>
        <w:rPr>
          <w:b/>
        </w:rPr>
        <w:t xml:space="preserve">Source: </w:t>
      </w:r>
      <w:hyperlink r:id="rId10">
        <w:r>
          <w:rPr>
            <w:color w:val="0000FF"/>
            <w:u w:val="single"/>
            <w:rFonts w:ascii="Times New Roman" w:hAnsi="Times New Roman"/>
          </w:rPr>
          <w:t xml:space="preserve">The New York Times</w:t>
        </w:r>
      </w:hyperlink>
      <w:r>
        <w:rPr>
          <w:b w:val="0"/>
        </w:rPr>
        <w:t xml:space="preserve">, </w:t>
      </w:r>
      <w:hyperlink r:id="rId13">
        <w:r>
          <w:rPr>
            <w:color w:val="0000FF"/>
            <w:u w:val="single"/>
            <w:rFonts w:ascii="Times New Roman" w:hAnsi="Times New Roman"/>
          </w:rPr>
          <w:t xml:space="preserve">Al Jazeera</w:t>
        </w:r>
      </w:hyperlink>
    </w:p>
    <w:p>
      <w:pPr>
        <w:pStyle w:val="NoSpacing"/>
      </w:pPr>
      <w:r>
        <w:rPr>
          <w:b/>
        </w:rPr>
        <w:t xml:space="preserve">Consideration: </w:t>
      </w:r>
      <w:r>
        <w:t>Keep the cultural narrative anchored in continuity and delivery — programming that proceeds on schedule, safe international participation, and public access — rather than engaging the security story directly, so cultural confidence stays insulated from the conflict cycle.</w:t>
      </w:r>
    </w:p>
    <w:p>
      <w:pPr>
        <w:pStyle w:val="NoSpacing"/>
      </w:pPr>
    </w:p>
    <w:p>
      <w:pPr>
        <w:pStyle w:val="NoSpacing"/>
      </w:pPr>
      <w:r>
        <w:rPr>
          <w:b/>
          <w:color w:val="000000"/>
        </w:rPr>
        <w:t>2. Adversarial framing casts Saudi Arabia as escalation trigger and Gulf-unity risk</w:t>
      </w:r>
    </w:p>
    <w:p>
      <w:pPr>
        <w:pStyle w:val="NoSpacing"/>
      </w:pPr>
      <w:r>
        <w:t>Qatari-linked outlets are framing the maritime escalation as reciprocal Saudi–Houthi violence and amplifying Emirati unease over the new defence pact, narratives that — whatever their sourcing motives — apply reputational pressure on the Kingdom at a sensitive moment.</w:t>
      </w:r>
    </w:p>
    <w:p>
      <w:pPr>
        <w:pStyle w:val="NoSpacing"/>
      </w:pPr>
      <w:r>
        <w:rPr>
          <w:b/>
        </w:rPr>
        <w:t xml:space="preserve">Source: </w:t>
      </w:r>
      <w:hyperlink r:id="rId13">
        <w:r>
          <w:rPr>
            <w:color w:val="0000FF"/>
            <w:u w:val="single"/>
            <w:rFonts w:ascii="Times New Roman" w:hAnsi="Times New Roman"/>
          </w:rPr>
          <w:t xml:space="preserve">Al Jazeera</w:t>
        </w:r>
      </w:hyperlink>
      <w:r>
        <w:rPr>
          <w:b w:val="0"/>
        </w:rPr>
        <w:t xml:space="preserve">, </w:t>
      </w:r>
      <w:hyperlink r:id="rId14">
        <w:r>
          <w:rPr>
            <w:color w:val="0000FF"/>
            <w:u w:val="single"/>
            <w:rFonts w:ascii="Times New Roman" w:hAnsi="Times New Roman"/>
          </w:rPr>
          <w:t xml:space="preserve">Middle East Eye</w:t>
        </w:r>
      </w:hyperlink>
    </w:p>
    <w:p>
      <w:pPr>
        <w:pStyle w:val="NoSpacing"/>
      </w:pPr>
      <w:r>
        <w:rPr>
          <w:b/>
        </w:rPr>
        <w:t xml:space="preserve">Consideration: </w:t>
      </w:r>
      <w:r>
        <w:t>Reinforce the soft-power narrative of partnership, exchange and cultural diplomacy, and keep the Ministry's messaging clear of the defence-pact controversy so cultural initiatives are not read through a geopolitical lens.</w:t>
      </w:r>
    </w:p>
    <w:p>
      <w:pPr>
        <w:pStyle w:val="NoSpacing"/>
      </w:pPr>
    </w:p>
    <w:p>
      <w:pPr>
        <w:pStyle w:val="NoSpacing"/>
      </w:pPr>
      <w:r>
        <w:rPr>
          <w:b/>
          <w:color w:val="A66500"/>
        </w:rPr>
        <w:t>Opportunities</w:t>
      </w:r>
    </w:p>
    <w:p>
      <w:pPr>
        <w:pStyle w:val="NoSpacing"/>
      </w:pPr>
      <w:r>
        <w:rPr>
          <w:b/>
          <w:color w:val="000000"/>
        </w:rPr>
        <w:t>1. Diversification momentum holds despite the security climate</w:t>
      </w:r>
    </w:p>
    <w:p>
      <w:pPr>
        <w:pStyle w:val="NoSpacing"/>
      </w:pPr>
      <w:r>
        <w:t>The projected data-centre boom and the resumption of full offshore-rig operations show the Kingdom sustaining its economic-diversification agenda through the regional turbulence, the same non-oil growth story that underwrites cultural investment.</w:t>
      </w:r>
    </w:p>
    <w:p>
      <w:pPr>
        <w:pStyle w:val="NoSpacing"/>
      </w:pPr>
      <w:r>
        <w:rPr>
          <w:b/>
        </w:rPr>
        <w:t xml:space="preserve">Source: </w:t>
      </w:r>
      <w:hyperlink r:id="rId11">
        <w:r>
          <w:rPr>
            <w:color w:val="0000FF"/>
            <w:u w:val="single"/>
            <w:rFonts w:ascii="Times New Roman" w:hAnsi="Times New Roman"/>
          </w:rPr>
          <w:t xml:space="preserve">Semafor</w:t>
        </w:r>
      </w:hyperlink>
      <w:r>
        <w:rPr>
          <w:b w:val="0"/>
        </w:rPr>
        <w:t xml:space="preserve">, </w:t>
      </w:r>
      <w:hyperlink r:id="rId12">
        <w:r>
          <w:rPr>
            <w:color w:val="0000FF"/>
            <w:u w:val="single"/>
            <w:rFonts w:ascii="Times New Roman" w:hAnsi="Times New Roman"/>
          </w:rPr>
          <w:t xml:space="preserve">AGBI</w:t>
        </w:r>
      </w:hyperlink>
    </w:p>
    <w:p>
      <w:pPr>
        <w:pStyle w:val="NoSpacing"/>
      </w:pPr>
      <w:r>
        <w:rPr>
          <w:b/>
        </w:rPr>
        <w:t xml:space="preserve">Consideration: </w:t>
      </w:r>
      <w:r>
        <w:t>Connect digital-infrastructure and economic-resilience stories to cultural programming — for example AI-enabled cultural initiatives and digital heritage — to tell a joined-up Vision 2030 narrative rather than treating the tracks as separate.</w:t>
      </w:r>
    </w:p>
    <w:p>
      <w:pPr>
        <w:pStyle w:val="NoSpacing"/>
      </w:pPr>
    </w:p>
    <w:p>
      <w:pPr>
        <w:pStyle w:val="NoSpacing"/>
      </w:pPr>
      <w:r>
        <w:rPr>
          <w:b/>
          <w:color w:val="000000"/>
        </w:rPr>
        <w:t>2. Global heritage under stress sharpens the case for Saudi stewardship</w:t>
      </w:r>
    </w:p>
    <w:p>
      <w:pPr>
        <w:pStyle w:val="NoSpacing"/>
      </w:pPr>
      <w:r>
        <w:t>With heritage sites damaged by earthquake in Colombia and by war in Ukraine, and Western museums and galleries under financial strain, the Kingdom's sustained investment in preservation and institution-building stands out as a counter-narrative of proactive stewardship.</w:t>
      </w:r>
    </w:p>
    <w:p>
      <w:pPr>
        <w:pStyle w:val="NoSpacing"/>
      </w:pPr>
      <w:r>
        <w:rPr>
          <w:b/>
        </w:rPr>
        <w:t xml:space="preserve">Source: </w:t>
      </w:r>
      <w:hyperlink r:id="rId16">
        <w:r>
          <w:rPr>
            <w:color w:val="0000FF"/>
            <w:u w:val="single"/>
            <w:rFonts w:ascii="Times New Roman" w:hAnsi="Times New Roman"/>
          </w:rPr>
          <w:t xml:space="preserve">The Art Newspaper</w:t>
        </w:r>
      </w:hyperlink>
      <w:r>
        <w:rPr>
          <w:b w:val="0"/>
        </w:rPr>
        <w:t xml:space="preserve">, </w:t>
      </w:r>
      <w:hyperlink r:id="rId17">
        <w:r>
          <w:rPr>
            <w:color w:val="0000FF"/>
            <w:u w:val="single"/>
            <w:rFonts w:ascii="Times New Roman" w:hAnsi="Times New Roman"/>
          </w:rPr>
          <w:t xml:space="preserve">Hyperallergic</w:t>
        </w:r>
      </w:hyperlink>
    </w:p>
    <w:p>
      <w:pPr>
        <w:pStyle w:val="NoSpacing"/>
      </w:pPr>
      <w:r>
        <w:rPr>
          <w:b/>
        </w:rPr>
        <w:t xml:space="preserve">Consideration: </w:t>
      </w:r>
      <w:r>
        <w:t>Position Saudi heritage and museum investment within the global stewardship conversation, benchmarking conservation and disaster-preparedness programming against these international stress points to underline the Kingdom's long-term commitment.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politics/defense/turkey-pakistan-saudi-pact-a-muslim-nato-5-things-to-know" TargetMode="External"/><Relationship Id="rId10" Type="http://schemas.openxmlformats.org/officeDocument/2006/relationships/hyperlink" Target="https://www.nytimes.com/2026/08/11/world/middleeast/deadly-houthi-strike-red-sea.html" TargetMode="External"/><Relationship Id="rId11" Type="http://schemas.openxmlformats.org/officeDocument/2006/relationships/hyperlink" Target="https://www.semafor.com/article/08/11/2026/saudi-data-center-capacity-projected-to-boom-but-financing-a-challenge" TargetMode="External"/><Relationship Id="rId12" Type="http://schemas.openxmlformats.org/officeDocument/2006/relationships/hyperlink" Target="https://www.agbi.com/oil-and-gas/2026/08/ades-confirms-all-offshore-rigs-in-saudi-arabia-are-operational/" TargetMode="External"/><Relationship Id="rId13" Type="http://schemas.openxmlformats.org/officeDocument/2006/relationships/hyperlink" Target="https://www.aljazeera.com/news/2026/8/12/six-killed-in-houthi-attack-on-bab-al-mandeb-ship-yemens-government-says" TargetMode="External"/><Relationship Id="rId14" Type="http://schemas.openxmlformats.org/officeDocument/2006/relationships/hyperlink" Target="https://www.middleeasteye.net/trending/saudi-arabia-defence-pact-turkey-pakistan-sparks-uae-backlash" TargetMode="External"/><Relationship Id="rId15" Type="http://schemas.openxmlformats.org/officeDocument/2006/relationships/hyperlink" Target="https://www.theartnewspaper.com/2026/08/11/bottoms-up-vast-roman-shipwreck-filled-with-ancient-wine-amphoras-discovered-near-sicily" TargetMode="External"/><Relationship Id="rId16" Type="http://schemas.openxmlformats.org/officeDocument/2006/relationships/hyperlink" Target="https://www.theartnewspaper.com/2026/08/11/colombia-earthquake-damages-manizales-cathedral" TargetMode="External"/><Relationship Id="rId17" Type="http://schemas.openxmlformats.org/officeDocument/2006/relationships/hyperlink" Target="https://hyperallergic.com/russia-has-damaged-or-destroyed-over-4-500-cultural-sites-in-ukraine/" TargetMode="External"/><Relationship Id="rId18" Type="http://schemas.openxmlformats.org/officeDocument/2006/relationships/hyperlink" Target="https://hyperallergic.com/san-diego-museum-of-art-lays-off-11-workers/" TargetMode="External"/><Relationship Id="rId19" Type="http://schemas.openxmlformats.org/officeDocument/2006/relationships/hyperlink" Target="https://www.theartnewspaper.com/2026/08/11/stopping-while-were-ahead-london-gallery-sid-motion-to-shut-after-a-decade" TargetMode="External"/><Relationship Id="rId20" Type="http://schemas.openxmlformats.org/officeDocument/2006/relationships/hyperlink" Target="https://hyperallergic.com/maori-karmael-holmes-looks-back-on-15-years-of-blackstar/" TargetMode="External"/><Relationship Id="rId21" Type="http://schemas.openxmlformats.org/officeDocument/2006/relationships/hyperlink" Target="https://www.archdaily.com/1183086/peter-zumthors-architecture-takes-center-stage-in-wim-wenders-new-film-from-inside-out" TargetMode="External"/><Relationship Id="rId22" Type="http://schemas.openxmlformats.org/officeDocument/2006/relationships/hyperlink" Target="https://www.thestage.co.uk/news/atg-entertainment-sold-to-global-events-firm-m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