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22 July 2026</w:t>
      </w:r>
    </w:p>
    <w:p>
      <w:pPr>
        <w:pStyle w:val="NoSpacing"/>
      </w:pPr>
    </w:p>
    <w:p>
      <w:pPr>
        <w:pStyle w:val="NoSpacing"/>
      </w:pPr>
      <w:r>
        <w:rPr>
          <w:b/>
          <w:color w:val="4A86E8"/>
        </w:rPr>
        <w:t>Saudi Arabia/Regional</w:t>
      </w:r>
    </w:p>
    <w:p>
      <w:pPr>
        <w:pStyle w:val="ListBullet"/>
      </w:pPr>
      <w:r>
        <w:t>Tankers carrying Saudi oil make U-turn in Red Sea after Houthi threats</w:t>
      </w:r>
    </w:p>
    <w:p>
      <w:pPr>
        <w:pStyle w:val="ListBullet"/>
      </w:pPr>
      <w:r>
        <w:t>Saudi Crude Flow From Red Sea Hit Record Before Houthi Warning</w:t>
      </w:r>
    </w:p>
    <w:p>
      <w:pPr>
        <w:pStyle w:val="ListBullet"/>
      </w:pPr>
      <w:r>
        <w:t>Trump approves nuclear agreement that may allow Saudi Arabia to enrich uranium, two AP sources say</w:t>
      </w:r>
    </w:p>
    <w:p>
      <w:pPr>
        <w:pStyle w:val="ListBullet"/>
      </w:pPr>
      <w:r>
        <w:t>Houthis in Yemen Edge Closer to Entering U.S.-Iran War</w:t>
      </w:r>
    </w:p>
    <w:p>
      <w:pPr>
        <w:pStyle w:val="NoSpacing"/>
      </w:pPr>
    </w:p>
    <w:p>
      <w:pPr>
        <w:pStyle w:val="NoSpacing"/>
      </w:pPr>
      <w:r>
        <w:rPr>
          <w:b/>
          <w:color w:val="EE0000"/>
        </w:rPr>
        <w:t>Negative Articles</w:t>
      </w:r>
    </w:p>
    <w:p>
      <w:pPr>
        <w:pStyle w:val="ListBullet"/>
      </w:pPr>
      <w:r>
        <w:t>Saudi Arabia slams Houthi blockade: How will rest of the world be impacted?</w:t>
      </w:r>
    </w:p>
    <w:p>
      <w:pPr>
        <w:pStyle w:val="NoSpacing"/>
      </w:pPr>
    </w:p>
    <w:p>
      <w:pPr>
        <w:pStyle w:val="NoSpacing"/>
      </w:pPr>
      <w:r>
        <w:rPr>
          <w:b/>
          <w:color w:val="4A86E8"/>
        </w:rPr>
        <w:t>Global</w:t>
      </w:r>
    </w:p>
    <w:p>
      <w:pPr>
        <w:pStyle w:val="ListBullet"/>
      </w:pPr>
      <w:r>
        <w:t>2,000-Year-Old Main Street Unearthed at Aspendos Reveals Shops, Sewers and a Monumental Gate</w:t>
      </w:r>
    </w:p>
    <w:p>
      <w:pPr>
        <w:pStyle w:val="ListBullet"/>
      </w:pPr>
      <w:r>
        <w:t>Archaeologists Uncover Monumental Bronze Age Tomb with Weapons and a Sacrificed Horse in Armenia</w:t>
      </w:r>
    </w:p>
    <w:p>
      <w:pPr>
        <w:pStyle w:val="ListBullet"/>
      </w:pPr>
      <w:r>
        <w:t>Italy Repatriates Artifacts to Mexico</w:t>
      </w:r>
    </w:p>
    <w:p>
      <w:pPr>
        <w:pStyle w:val="ListBullet"/>
      </w:pPr>
      <w:r>
        <w:t>The Art Institute of Chicago to Cut Its Entire Custodial Staff</w:t>
      </w:r>
    </w:p>
    <w:p>
      <w:pPr>
        <w:pStyle w:val="ListBullet"/>
      </w:pPr>
      <w:r>
        <w:t>Shuttered San Francisco arts school will become college co-named for Nvidia founder Jensen Huang</w:t>
      </w:r>
    </w:p>
    <w:p>
      <w:pPr>
        <w:pStyle w:val="ListBullet"/>
      </w:pPr>
      <w:r>
        <w:t>Comment | How much can one artist take from another before it is copyright infringement?</w:t>
      </w:r>
    </w:p>
    <w:p>
      <w:pPr>
        <w:pStyle w:val="ListBullet"/>
      </w:pPr>
      <w:r>
        <w:t>MVRDV Wins Competition to Design Shift Embassy in Rotterdam</w:t>
      </w:r>
    </w:p>
    <w:p>
      <w:pPr>
        <w:pStyle w:val="ListBullet"/>
      </w:pPr>
      <w:r>
        <w:t>Chemena Kamali to Head 2026 Fashion Jury at Hyeres Festival</w:t>
      </w:r>
    </w:p>
    <w:p>
      <w:pPr>
        <w:pStyle w:val="ListBullet"/>
      </w:pPr>
      <w:r>
        <w:t>May Sales Shined, AAP Reports</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Several tankers carrying Saudi crude reversed course in the Red Sea after Yemen's Houthis declared a maritime embargo on the Kingdom, with maritime-intelligence firm Windward confirming five Saudi-linked vessels rerouted towards the Suez Canal rather than transit the Bab Al Mandeb strait. Riyadh dismissed the Houthi claims as disinformation and said it would take all necessary measures to protect its shipping. The episode underscores how quickly a regional-security shock can disrupt the Kingdom's trade and the wider stability narrative that underpins its tourism and investment ambitions. (</w:t>
      </w:r>
      <w:hyperlink r:id="rId9">
        <w:r>
          <w:rPr>
            <w:color w:val="0000FF"/>
            <w:u w:val="single"/>
            <w:rFonts w:ascii="Times New Roman" w:hAnsi="Times New Roman"/>
          </w:rPr>
          <w:t xml:space="preserve">The National</w:t>
        </w:r>
      </w:hyperlink>
      <w:r>
        <w:rPr>
          <w:b w:val="0"/>
        </w:rPr>
        <w:t>)</w:t>
      </w:r>
    </w:p>
    <w:p>
      <w:pPr>
        <w:pStyle w:val="ListBullet"/>
      </w:pPr>
      <w:r>
        <w:rPr>
          <w:b w:val="0"/>
        </w:rPr>
        <w:t>Saudi Arabia shipped record volumes of crude from its Red Sea terminals in the weeks before the Houthi blockade warning, according to Bloomberg, with exports through the corridor running at around 4.7 million barrels a day. The data frames the Kingdom's energy logistics as heavily exposed to the Bab Al Mandeb chokepoint at the very moment that route is under threat. Continued coverage of Red Sea vulnerability forms a reputational backdrop the Ministry's cultural and tourism messaging will need to work around. (</w:t>
      </w:r>
      <w:hyperlink r:id="rId10">
        <w:r>
          <w:rPr>
            <w:color w:val="0000FF"/>
            <w:u w:val="single"/>
            <w:rFonts w:ascii="Times New Roman" w:hAnsi="Times New Roman"/>
          </w:rPr>
          <w:t xml:space="preserve">Bloomberg</w:t>
        </w:r>
      </w:hyperlink>
      <w:r>
        <w:rPr>
          <w:b w:val="0"/>
        </w:rPr>
        <w:t>)</w:t>
      </w:r>
    </w:p>
    <w:p>
      <w:pPr>
        <w:pStyle w:val="ListBullet"/>
      </w:pPr>
      <w:r>
        <w:rPr>
          <w:b w:val="0"/>
        </w:rPr>
        <w:t>President Trump has approved a 30-year civilian nuclear agreement with Saudi Arabia that could permit uranium enrichment on Saudi soil, with US firms leading development, according to an Associated Press report; the accord is not expected to include the IAEA's Additional Protocol and will go to Congress for review. Non-proliferation experts warned the enrichment provision could raise weaponisation concerns. The deal deepens the US-Saudi strategic partnership while also inviting scrutiny that shapes how international audiences read the Kingdom's wider ambitions. (</w:t>
      </w:r>
      <w:hyperlink r:id="rId11">
        <w:r>
          <w:rPr>
            <w:color w:val="0000FF"/>
            <w:u w:val="single"/>
            <w:rFonts w:ascii="Times New Roman" w:hAnsi="Times New Roman"/>
          </w:rPr>
          <w:t xml:space="preserve">The Boston Globe</w:t>
        </w:r>
      </w:hyperlink>
      <w:r>
        <w:rPr>
          <w:b w:val="0"/>
        </w:rPr>
        <w:t>)</w:t>
      </w:r>
    </w:p>
    <w:p>
      <w:pPr>
        <w:pStyle w:val="ListBullet"/>
      </w:pPr>
      <w:r>
        <w:rPr>
          <w:b w:val="0"/>
        </w:rPr>
        <w:t>Yemen's Houthis are edging closer to direct involvement in the widening US-Iran confrontation, The New York Times reports, as the group's escalation against Saudi shipping intersects with the broader regional conflict. The convergence raises the risk of the Kingdom being drawn further into a multi-front crisis on its maritime and southern flanks. A prolonged escalation would complicate the calm, outward-facing environment on which the Kingdom's cultural-tourism and events calendar depends. (</w:t>
      </w:r>
      <w:hyperlink r:id="rId12">
        <w:r>
          <w:rPr>
            <w:color w:val="0000FF"/>
            <w:u w:val="single"/>
            <w:rFonts w:ascii="Times New Roman" w:hAnsi="Times New Roman"/>
          </w:rPr>
          <w:t xml:space="preserve">The New York Times</w:t>
        </w:r>
      </w:hyperlink>
      <w:r>
        <w:rPr>
          <w:b w:val="0"/>
        </w:rPr>
        <w:t>)</w:t>
      </w:r>
    </w:p>
    <w:p>
      <w:pPr>
        <w:pStyle w:val="NoSpacing"/>
      </w:pPr>
    </w:p>
    <w:p>
      <w:pPr>
        <w:pStyle w:val="NoSpacing"/>
      </w:pPr>
      <w:r>
        <w:rPr>
          <w:b/>
          <w:color w:val="EE0000"/>
        </w:rPr>
        <w:t>Negative Articles</w:t>
      </w:r>
    </w:p>
    <w:p>
      <w:pPr>
        <w:pStyle w:val="ListBullet"/>
      </w:pPr>
      <w:r>
        <w:rPr>
          <w:b w:val="0"/>
        </w:rPr>
        <w:t>Al Jazeera's coverage of the maritime standoff platforms the Houthi framing of the confrontation, presenting the group's "eye for an eye" blockade as retaliation for what it calls an "unjust and oppressive siege" and for Saudi airstrikes on Sanaa International Airport, and situating the events within the Yemen war's humanitarian toll. Although the piece also carries Riyadh's condemnation of the blockade, its framing casts the Kingdom as a party to the conflict rather than solely a victim of it. Coverage from a Qatari state-funded outlet advancing this narrative is the kind of adversarial framing the Ministry should anticipate whenever the security story dominates the news cycle. (</w:t>
      </w:r>
      <w:hyperlink r:id="rId13">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Turkey have uncovered roughly 300 metres of a 2,000-year-old street at Aspendos, revealing shops, houses, a bakery, sewers and a monumental gateway that recast the Roman-era site as a trade-driven urban centre rather than simply a theatre and aqueduct complex, Arkeonews reports. The find strengthens Aspendos as a heritage-tourism destination. It also illustrates how fresh excavation narratives can renew global interest in long-known sites — a dynamic directly relevant to the Kingdom's investment in AlUla and its Nabataean heritage. (</w:t>
      </w:r>
      <w:hyperlink r:id="rId14">
        <w:r>
          <w:rPr>
            <w:color w:val="0000FF"/>
            <w:u w:val="single"/>
            <w:rFonts w:ascii="Times New Roman" w:hAnsi="Times New Roman"/>
          </w:rPr>
          <w:t xml:space="preserve">Arkeonews</w:t>
        </w:r>
      </w:hyperlink>
      <w:r>
        <w:rPr>
          <w:b w:val="0"/>
        </w:rPr>
        <w:t>)</w:t>
      </w:r>
    </w:p>
    <w:p>
      <w:pPr>
        <w:pStyle w:val="ListBullet"/>
      </w:pPr>
      <w:r>
        <w:rPr>
          <w:b w:val="0"/>
        </w:rPr>
        <w:t>Excavations in Armenia have revealed a monumental Bronze Age tomb containing bronze weapons, obsidian and burial offerings, including a sacrificed horse, pointing to elite burial practices in the South Caucasus, according to Arkeonews. The discovery adds to a growing body of research repositioning the Caucasus as central to prehistoric study. For the Ministry, it is a reminder of how individual archaeological finds gradually build a region's scholarly and cultural profile. (</w:t>
      </w:r>
      <w:hyperlink r:id="rId15">
        <w:r>
          <w:rPr>
            <w:color w:val="0000FF"/>
            <w:u w:val="single"/>
            <w:rFonts w:ascii="Times New Roman" w:hAnsi="Times New Roman"/>
          </w:rPr>
          <w:t xml:space="preserve">Arkeonews</w:t>
        </w:r>
      </w:hyperlink>
      <w:r>
        <w:rPr>
          <w:b w:val="0"/>
        </w:rPr>
        <w:t>)</w:t>
      </w:r>
    </w:p>
    <w:p>
      <w:pPr>
        <w:pStyle w:val="NoSpacing"/>
      </w:pPr>
      <w:r>
        <w:rPr>
          <w:b/>
          <w:color w:val="000000"/>
        </w:rPr>
        <w:t>Museums:</w:t>
      </w:r>
    </w:p>
    <w:p>
      <w:pPr>
        <w:pStyle w:val="ListBullet"/>
      </w:pPr>
      <w:r>
        <w:rPr>
          <w:b w:val="0"/>
        </w:rPr>
        <w:t>Italy's Carabinieri art-crime unit has returned a collection of pre-Columbian artefacts to Mexico, including three Teotihuacan sculpture heads and Maya terracotta figurines recovered from trafficking investigations, Archaeology Magazine reports. The handover reflects an intensifying global push to return looted cultural property to its countries of origin. As Saudi Arabia expands its museum sector and its international loans, visible alignment with restitution norms is an increasingly important marker of institutional credibility. (</w:t>
      </w:r>
      <w:hyperlink r:id="rId16">
        <w:r>
          <w:rPr>
            <w:color w:val="0000FF"/>
            <w:u w:val="single"/>
            <w:rFonts w:ascii="Times New Roman" w:hAnsi="Times New Roman"/>
          </w:rPr>
          <w:t xml:space="preserve">Archaeology Magazine</w:t>
        </w:r>
      </w:hyperlink>
      <w:r>
        <w:rPr>
          <w:b w:val="0"/>
        </w:rPr>
        <w:t>)</w:t>
      </w:r>
    </w:p>
    <w:p>
      <w:pPr>
        <w:pStyle w:val="ListBullet"/>
      </w:pPr>
      <w:r>
        <w:rPr>
          <w:b w:val="0"/>
        </w:rPr>
        <w:t>The Art Institute of Chicago plans to eliminate its entire 25-person custodial workforce in August and outsource the work to a private contractor, prompting a union grievance and accusations that the move is unconscionable, Hyperallergic reports. The decision reflects wider budget pressure on major museums and renewed scrutiny of how cultural institutions treat frontline staff. It is a cautionary reference point as the Kingdom scales up its own museum workforce and professional standards. (</w:t>
      </w:r>
      <w:hyperlink r:id="rId17">
        <w:r>
          <w:rPr>
            <w:color w:val="0000FF"/>
            <w:u w:val="single"/>
            <w:rFonts w:ascii="Times New Roman" w:hAnsi="Times New Roman"/>
          </w:rPr>
          <w:t xml:space="preserve">Hyperallergic</w:t>
        </w:r>
      </w:hyperlink>
      <w:r>
        <w:rPr>
          <w:b w:val="0"/>
        </w:rPr>
        <w:t>)</w:t>
      </w:r>
    </w:p>
    <w:p>
      <w:pPr>
        <w:pStyle w:val="NoSpacing"/>
      </w:pPr>
      <w:r>
        <w:rPr>
          <w:b/>
          <w:color w:val="000000"/>
        </w:rPr>
        <w:t>Visual Arts:</w:t>
      </w:r>
    </w:p>
    <w:p>
      <w:pPr>
        <w:pStyle w:val="ListBullet"/>
      </w:pPr>
      <w:r>
        <w:rPr>
          <w:b w:val="0"/>
        </w:rPr>
        <w:t>Vanderbilt University will establish a new college of art, architecture and design on the former California College of the Arts campus in San Francisco, backed by a 75 million dollar gift from Nvidia founder Jensen Huang and his wife, with the institution due to open in 2027, The Art Newspaper reports. The case shows technology wealth reshaping arts education and preserving the legacy of a collapsed 120-year-old school. It offers a comparison point for the Kingdom's own investment in dedicated cultural-education institutions. (</w:t>
      </w:r>
      <w:hyperlink r:id="rId18">
        <w:r>
          <w:rPr>
            <w:color w:val="0000FF"/>
            <w:u w:val="single"/>
            <w:rFonts w:ascii="Times New Roman" w:hAnsi="Times New Roman"/>
          </w:rPr>
          <w:t xml:space="preserve">The Art Newspaper</w:t>
        </w:r>
      </w:hyperlink>
      <w:r>
        <w:rPr>
          <w:b w:val="0"/>
        </w:rPr>
        <w:t>)</w:t>
      </w:r>
    </w:p>
    <w:p>
      <w:pPr>
        <w:pStyle w:val="ListBullet"/>
      </w:pPr>
      <w:r>
        <w:rPr>
          <w:b w:val="0"/>
        </w:rPr>
        <w:t>A European Court of Justice ruling has set a new "creative dialogue" standard for appropriation, holding that a reused work must be noticeably different from the original while still evoking it through tribute or critical engagement to qualify as permissible pastiche, The Art Newspaper reports. The benchmark will shape how artists across visual art, music, literature and film reference existing works. It is a useful legal reference for the Kingdom's fast-growing creative sector and its developing intellectual-property frameworks. (</w:t>
      </w:r>
      <w:hyperlink r:id="rId19">
        <w:r>
          <w:rPr>
            <w:color w:val="0000FF"/>
            <w:u w:val="single"/>
            <w:rFonts w:ascii="Times New Roman" w:hAnsi="Times New Roman"/>
          </w:rPr>
          <w:t xml:space="preserve">The Art Newspaper</w:t>
        </w:r>
      </w:hyperlink>
      <w:r>
        <w:rPr>
          <w:b w:val="0"/>
        </w:rPr>
        <w:t>)</w:t>
      </w:r>
    </w:p>
    <w:p>
      <w:pPr>
        <w:pStyle w:val="NoSpacing"/>
      </w:pPr>
      <w:r>
        <w:rPr>
          <w:b/>
          <w:color w:val="000000"/>
        </w:rPr>
        <w:t>Architecture and Design:</w:t>
      </w:r>
    </w:p>
    <w:p>
      <w:pPr>
        <w:pStyle w:val="ListBullet"/>
      </w:pPr>
      <w:r>
        <w:rPr>
          <w:b w:val="0"/>
        </w:rPr>
        <w:t>Dutch practice MVRDV has won an international competition to design the Shift Embassy in Rotterdam, a cultural destination conceived as seven stacked, rock-like volumes combining exhibition space, a hotel and ecological infrastructure with a strong emphasis on reused materials, ArchDaily reports. The scheme exemplifies how new cultural buildings increasingly foreground sustainability and material reuse. The approach resonates with the design ambitions behind Saudi cultural districts such as the JAX District in Diriyah. (</w:t>
      </w:r>
      <w:hyperlink r:id="rId20">
        <w:r>
          <w:rPr>
            <w:color w:val="0000FF"/>
            <w:u w:val="single"/>
            <w:rFonts w:ascii="Times New Roman" w:hAnsi="Times New Roman"/>
          </w:rPr>
          <w:t xml:space="preserve">ArchDaily</w:t>
        </w:r>
      </w:hyperlink>
      <w:r>
        <w:rPr>
          <w:b w:val="0"/>
        </w:rPr>
        <w:t>)</w:t>
      </w:r>
    </w:p>
    <w:p>
      <w:pPr>
        <w:pStyle w:val="NoSpacing"/>
      </w:pPr>
      <w:r>
        <w:rPr>
          <w:b/>
          <w:color w:val="000000"/>
        </w:rPr>
        <w:t>Fashion:</w:t>
      </w:r>
    </w:p>
    <w:p>
      <w:pPr>
        <w:pStyle w:val="ListBullet"/>
      </w:pPr>
      <w:r>
        <w:rPr>
          <w:b w:val="0"/>
        </w:rPr>
        <w:t>Chloe creative director Chemena Kamali has been named president of the fashion jury for the 41st Hyeres International Festival of Fashion, Photography and Accessories this October, WWD reports, in the first edition under a new Villa Noailles president. Hyeres remains a key launchpad for emerging design talent. The model of established designers mentoring new voices parallels the talent pathways the Kingdom is building through the Fashion Commission and Riyadh Fashion Week. (</w:t>
      </w:r>
      <w:hyperlink r:id="rId21">
        <w:r>
          <w:rPr>
            <w:color w:val="0000FF"/>
            <w:u w:val="single"/>
            <w:rFonts w:ascii="Times New Roman" w:hAnsi="Times New Roman"/>
          </w:rPr>
          <w:t xml:space="preserve">WWD</w:t>
        </w:r>
      </w:hyperlink>
      <w:r>
        <w:rPr>
          <w:b w:val="0"/>
        </w:rPr>
        <w:t>)</w:t>
      </w:r>
    </w:p>
    <w:p>
      <w:pPr>
        <w:pStyle w:val="NoSpacing"/>
      </w:pPr>
      <w:r>
        <w:rPr>
          <w:b/>
          <w:color w:val="000000"/>
        </w:rPr>
        <w:t>Literature, Publishing, and Translation:</w:t>
      </w:r>
    </w:p>
    <w:p>
      <w:pPr>
        <w:pStyle w:val="ListBullet"/>
      </w:pPr>
      <w:r>
        <w:rPr>
          <w:b w:val="0"/>
        </w:rPr>
        <w:t>US publishing sales rose 6.8 per cent in May, led by growth in children's and adult trade categories, according to Association of American Publishers data reported by Publishers Weekly. The figures point to resilient consumer demand for books despite broader economic pressure. They offer market context for the Kingdom's own publishing and translation ambitions under the Literature, Publishing and Translation Commission. (</w:t>
      </w:r>
      <w:hyperlink r:id="rId22">
        <w:r>
          <w:rPr>
            <w:color w:val="0000FF"/>
            <w:u w:val="single"/>
            <w:rFonts w:ascii="Times New Roman" w:hAnsi="Times New Roman"/>
          </w:rPr>
          <w:t xml:space="preserve">Publishers Weekly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escalation exposes the Kingdom's stability narrative</w:t>
      </w:r>
    </w:p>
    <w:p>
      <w:pPr>
        <w:pStyle w:val="NoSpacing"/>
      </w:pPr>
      <w:r>
        <w:t>The Houthi maritime embargo and the rerouting of Saudi crude tankers have placed the Kingdom at the centre of a fresh Red Sea security crisis, with record pre-blockade export volumes underscoring how exposed its trade corridors are. Sustained international coverage of conflict on Saudi Arabia's maritime and southern flanks risks colouring perceptions of the Kingdom as a secure destination for cultural tourism, festivals and international events.</w:t>
      </w:r>
    </w:p>
    <w:p>
      <w:pPr>
        <w:pStyle w:val="NoSpacing"/>
      </w:pPr>
      <w:r>
        <w:rPr>
          <w:b/>
        </w:rPr>
        <w:t xml:space="preserve">Source: </w:t>
      </w:r>
      <w:hyperlink r:id="rId9">
        <w:r>
          <w:rPr>
            <w:color w:val="0000FF"/>
            <w:u w:val="single"/>
            <w:rFonts w:ascii="Times New Roman" w:hAnsi="Times New Roman"/>
          </w:rPr>
          <w:t xml:space="preserve">The National</w:t>
        </w:r>
      </w:hyperlink>
      <w:r>
        <w:rPr>
          <w:b w:val="0"/>
        </w:rPr>
        <w:t xml:space="preserve">, </w:t>
      </w:r>
      <w:hyperlink r:id="rId10">
        <w:r>
          <w:rPr>
            <w:color w:val="0000FF"/>
            <w:u w:val="single"/>
            <w:rFonts w:ascii="Times New Roman" w:hAnsi="Times New Roman"/>
          </w:rPr>
          <w:t xml:space="preserve">Bloomberg</w:t>
        </w:r>
      </w:hyperlink>
    </w:p>
    <w:p>
      <w:pPr>
        <w:pStyle w:val="NoSpacing"/>
      </w:pPr>
      <w:r>
        <w:rPr>
          <w:b/>
        </w:rPr>
        <w:t xml:space="preserve">Consideration: </w:t>
      </w:r>
      <w:r>
        <w:t>The Ministry should keep its cultural programme visibly distinct from the security story, foregrounding credible delivery, public access, Saudi talent and safe international participation, so the cultural calendar reads as continuity and confidence rather than being absorbed into conflict coverage.</w:t>
      </w:r>
    </w:p>
    <w:p>
      <w:pPr>
        <w:pStyle w:val="NoSpacing"/>
      </w:pPr>
    </w:p>
    <w:p>
      <w:pPr>
        <w:pStyle w:val="NoSpacing"/>
      </w:pPr>
      <w:r>
        <w:rPr>
          <w:b/>
          <w:color w:val="000000"/>
        </w:rPr>
        <w:t>2. Adversarial framing and proliferation scrutiny around the Kingdom</w:t>
      </w:r>
    </w:p>
    <w:p>
      <w:pPr>
        <w:pStyle w:val="NoSpacing"/>
      </w:pPr>
      <w:r>
        <w:t>Two strands of potentially damaging framing converged within the window: Qatari state-funded Al Jazeera platformed the Houthi characterisation of Saudi Arabia as imposing an oppressive siege on Yemen, while the reported US-Saudi civilian nuclear agreement drew non-proliferation concern over its uranium-enrichment provision and the absence of enhanced IAEA monitoring. Both feed narratives that cast the Kingdom's rise in a contested light.</w:t>
      </w:r>
    </w:p>
    <w:p>
      <w:pPr>
        <w:pStyle w:val="NoSpacing"/>
      </w:pPr>
      <w:r>
        <w:rPr>
          <w:b/>
        </w:rPr>
        <w:t xml:space="preserve">Source: </w:t>
      </w:r>
      <w:hyperlink r:id="rId13">
        <w:r>
          <w:rPr>
            <w:color w:val="0000FF"/>
            <w:u w:val="single"/>
            <w:rFonts w:ascii="Times New Roman" w:hAnsi="Times New Roman"/>
          </w:rPr>
          <w:t xml:space="preserve">Al Jazeera</w:t>
        </w:r>
      </w:hyperlink>
      <w:r>
        <w:rPr>
          <w:b w:val="0"/>
        </w:rPr>
        <w:t xml:space="preserve">, </w:t>
      </w:r>
      <w:hyperlink r:id="rId11">
        <w:r>
          <w:rPr>
            <w:color w:val="0000FF"/>
            <w:u w:val="single"/>
            <w:rFonts w:ascii="Times New Roman" w:hAnsi="Times New Roman"/>
          </w:rPr>
          <w:t xml:space="preserve">The Boston Globe</w:t>
        </w:r>
      </w:hyperlink>
    </w:p>
    <w:p>
      <w:pPr>
        <w:pStyle w:val="NoSpacing"/>
      </w:pPr>
      <w:r>
        <w:rPr>
          <w:b/>
        </w:rPr>
        <w:t xml:space="preserve">Consideration: </w:t>
      </w:r>
      <w:r>
        <w:t>Cultural diplomacy should be kept clearly separate from security and proliferation narratives; the Ministry can counterbalance contested framing by emphasising institutional professionalism, heritage stewardship, public cultural access and genuine international exchange rather than engaging the security debate directly.</w:t>
      </w:r>
    </w:p>
    <w:p>
      <w:pPr>
        <w:pStyle w:val="NoSpacing"/>
      </w:pPr>
    </w:p>
    <w:p>
      <w:pPr>
        <w:pStyle w:val="NoSpacing"/>
      </w:pPr>
      <w:r>
        <w:rPr>
          <w:b/>
          <w:color w:val="A66500"/>
        </w:rPr>
        <w:t>Opportunities</w:t>
      </w:r>
    </w:p>
    <w:p>
      <w:pPr>
        <w:pStyle w:val="NoSpacing"/>
      </w:pPr>
      <w:r>
        <w:rPr>
          <w:b/>
          <w:color w:val="000000"/>
        </w:rPr>
        <w:t>1. Global heritage and restitution momentum aligns with Saudi stewardship</w:t>
      </w:r>
    </w:p>
    <w:p>
      <w:pPr>
        <w:pStyle w:val="NoSpacing"/>
      </w:pPr>
      <w:r>
        <w:t>Within the window, international appetite for heritage and archaeology stories was strong — a major new excavation reframing the Roman city of Aspendos, a Bronze Age discovery in Armenia, and Italy's restitution of trafficked artefacts to Mexico. Together they reflect a global culture cycle that rewards preservation, scholarship and the ethical stewardship of cultural property.</w:t>
      </w:r>
    </w:p>
    <w:p>
      <w:pPr>
        <w:pStyle w:val="NoSpacing"/>
      </w:pPr>
      <w:r>
        <w:rPr>
          <w:b/>
        </w:rPr>
        <w:t xml:space="preserve">Source: </w:t>
      </w:r>
      <w:hyperlink r:id="rId14">
        <w:r>
          <w:rPr>
            <w:color w:val="0000FF"/>
            <w:u w:val="single"/>
            <w:rFonts w:ascii="Times New Roman" w:hAnsi="Times New Roman"/>
          </w:rPr>
          <w:t xml:space="preserve">Arkeonews</w:t>
        </w:r>
      </w:hyperlink>
      <w:r>
        <w:rPr>
          <w:b w:val="0"/>
        </w:rPr>
        <w:t xml:space="preserve">, </w:t>
      </w:r>
      <w:hyperlink r:id="rId16">
        <w:r>
          <w:rPr>
            <w:color w:val="0000FF"/>
            <w:u w:val="single"/>
            <w:rFonts w:ascii="Times New Roman" w:hAnsi="Times New Roman"/>
          </w:rPr>
          <w:t xml:space="preserve">Archaeology Magazine</w:t>
        </w:r>
      </w:hyperlink>
    </w:p>
    <w:p>
      <w:pPr>
        <w:pStyle w:val="NoSpacing"/>
      </w:pPr>
      <w:r>
        <w:rPr>
          <w:b/>
        </w:rPr>
        <w:t xml:space="preserve">Consideration: </w:t>
      </w:r>
      <w:r>
        <w:t>The Ministry can connect these threads to its own heritage narrative — AlUla, Hegra, Al-Faw and the expanding museum sector — positioning Saudi Arabia as a contributor to, not merely a beneficiary of, global preservation and restitution norms, and using discovery-led storytelling to sustain international interest.</w:t>
      </w:r>
    </w:p>
    <w:p>
      <w:pPr>
        <w:pStyle w:val="NoSpacing"/>
      </w:pPr>
    </w:p>
    <w:p>
      <w:pPr>
        <w:pStyle w:val="NoSpacing"/>
      </w:pPr>
      <w:r>
        <w:rPr>
          <w:b/>
          <w:color w:val="000000"/>
        </w:rPr>
        <w:t>2. Cultural investment and creative-economy trends mirror Saudi ambitions</w:t>
      </w:r>
    </w:p>
    <w:p>
      <w:pPr>
        <w:pStyle w:val="NoSpacing"/>
      </w:pPr>
      <w:r>
        <w:t>Several stories in the window echo the Kingdom's own creative-economy strategy: a large philanthropic gift reshaping arts education in San Francisco, a globally recognised architecture practice fusing culture with sustainability in Rotterdam, and resilient growth in the international book market. Each reflects sustained global investment in cultural education, infrastructure and content.</w:t>
      </w:r>
    </w:p>
    <w:p>
      <w:pPr>
        <w:pStyle w:val="NoSpacing"/>
      </w:pPr>
      <w:r>
        <w:rPr>
          <w:b/>
        </w:rPr>
        <w:t xml:space="preserve">Source: </w:t>
      </w:r>
      <w:hyperlink r:id="rId18">
        <w:r>
          <w:rPr>
            <w:color w:val="0000FF"/>
            <w:u w:val="single"/>
            <w:rFonts w:ascii="Times New Roman" w:hAnsi="Times New Roman"/>
          </w:rPr>
          <w:t xml:space="preserve">The Art Newspaper</w:t>
        </w:r>
      </w:hyperlink>
      <w:r>
        <w:rPr>
          <w:b w:val="0"/>
        </w:rPr>
        <w:t xml:space="preserve">, </w:t>
      </w:r>
      <w:hyperlink r:id="rId20">
        <w:r>
          <w:rPr>
            <w:color w:val="0000FF"/>
            <w:u w:val="single"/>
            <w:rFonts w:ascii="Times New Roman" w:hAnsi="Times New Roman"/>
          </w:rPr>
          <w:t xml:space="preserve">ArchDaily</w:t>
        </w:r>
      </w:hyperlink>
      <w:r>
        <w:rPr>
          <w:b w:val="0"/>
        </w:rPr>
        <w:t xml:space="preserve">, </w:t>
      </w:r>
      <w:hyperlink r:id="rId22">
        <w:r>
          <w:rPr>
            <w:color w:val="0000FF"/>
            <w:u w:val="single"/>
            <w:rFonts w:ascii="Times New Roman" w:hAnsi="Times New Roman"/>
          </w:rPr>
          <w:t xml:space="preserve">Publishers Weekly</w:t>
        </w:r>
      </w:hyperlink>
    </w:p>
    <w:p>
      <w:pPr>
        <w:pStyle w:val="NoSpacing"/>
      </w:pPr>
      <w:r>
        <w:rPr>
          <w:b/>
        </w:rPr>
        <w:t xml:space="preserve">Consideration: </w:t>
      </w:r>
      <w:r>
        <w:t>These provide external validation for the Kingdom's investment in cultural-education institutions, design-led cultural districts and its publishing and translation sector; the Ministry can frame its own initiatives as part of a worldwide movement rather than isolated national announcements, strengthening the cultural pillar of Vision 2030.</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nationalnews.com/news/gulf/2026/07/21/saudi-arabia-rejects-houthi-maritime-embargo-threat-and-warns-of-red-sea-escalation/" TargetMode="External"/><Relationship Id="rId10" Type="http://schemas.openxmlformats.org/officeDocument/2006/relationships/hyperlink" Target="https://www.bloomberg.com/news/articles/2026-07-21/saudi-crude-flow-from-red-sea-hit-record-before-houthi-warning" TargetMode="External"/><Relationship Id="rId11" Type="http://schemas.openxmlformats.org/officeDocument/2006/relationships/hyperlink" Target="https://www.bostonglobe.com/2026/07/21/nation/trump-saudi-arabia-nuclear-agreement/" TargetMode="External"/><Relationship Id="rId12" Type="http://schemas.openxmlformats.org/officeDocument/2006/relationships/hyperlink" Target="https://www.nytimes.com/2026/07/21/world/middleeast/houthis-yemen-iran-war.html" TargetMode="External"/><Relationship Id="rId13" Type="http://schemas.openxmlformats.org/officeDocument/2006/relationships/hyperlink" Target="https://www.aljazeera.com/news/2026/7/21/saudi-condemns-houthi-blockade-how-will-the-rest-of-the-world-be-impacted" TargetMode="External"/><Relationship Id="rId14" Type="http://schemas.openxmlformats.org/officeDocument/2006/relationships/hyperlink" Target="https://arkeonews.net/2000-year-old-main-street-unearthed-at-aspendos-reveals-shops-sewers-and-a-monumental-gate/" TargetMode="External"/><Relationship Id="rId15" Type="http://schemas.openxmlformats.org/officeDocument/2006/relationships/hyperlink" Target="https://arkeonews.net/archaeologists-uncover-monumental-bronze-age-tomb-with-weapons-and-a-sacrificed-horse-in-armenia/" TargetMode="External"/><Relationship Id="rId16" Type="http://schemas.openxmlformats.org/officeDocument/2006/relationships/hyperlink" Target="https://archaeology.org/news/2026/07/21/italy-repatriates-artifacts-to-mexico-2/" TargetMode="External"/><Relationship Id="rId17" Type="http://schemas.openxmlformats.org/officeDocument/2006/relationships/hyperlink" Target="https://hyperallergic.com/the-art-institute-of-chicago-to-cut-its-entire-custodial-staff/" TargetMode="External"/><Relationship Id="rId18" Type="http://schemas.openxmlformats.org/officeDocument/2006/relationships/hyperlink" Target="https://www.theartnewspaper.com/2026/07/21/vanderbilt-university-california-college-arts-jensen-huang-gift" TargetMode="External"/><Relationship Id="rId19" Type="http://schemas.openxmlformats.org/officeDocument/2006/relationships/hyperlink" Target="https://www.theartnewspaper.com/2026/07/21/when-is-appropriation-pastiche-or-copyright-infringement" TargetMode="External"/><Relationship Id="rId20" Type="http://schemas.openxmlformats.org/officeDocument/2006/relationships/hyperlink" Target="https://www.archdaily.com/1181341/mvrdv-wins-competition-to-design-shift-embassy-in-rotterdam" TargetMode="External"/><Relationship Id="rId21" Type="http://schemas.openxmlformats.org/officeDocument/2006/relationships/hyperlink" Target="https://wwd.com/fashion-news/fashion-features/chemena-kamali-fashion-jury-president-2026-hyeres-festival-1239077134/" TargetMode="External"/><Relationship Id="rId22" Type="http://schemas.openxmlformats.org/officeDocument/2006/relationships/hyperlink" Target="https://www.publishersweekly.com/pw/by-topic/industry-news/financial-reporting/article/100885-may-sales-shined-aap-repor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