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 August 2026</w:t>
      </w:r>
    </w:p>
    <w:p>
      <w:pPr>
        <w:pStyle w:val="NoSpacing"/>
      </w:pPr>
    </w:p>
    <w:p>
      <w:pPr>
        <w:pStyle w:val="NoSpacing"/>
      </w:pPr>
      <w:r>
        <w:rPr>
          <w:b/>
          <w:color w:val="4A86E8"/>
        </w:rPr>
        <w:t>Saudi Arabia/Regional</w:t>
      </w:r>
    </w:p>
    <w:p>
      <w:pPr>
        <w:pStyle w:val="ListBullet"/>
      </w:pPr>
      <w:r>
        <w:t>Trump says Mideast allies have reached outlines of deal to end Iran war</w:t>
      </w:r>
    </w:p>
    <w:p>
      <w:pPr>
        <w:pStyle w:val="ListBullet"/>
      </w:pPr>
      <w:r>
        <w:t>Scoop: Saudi crown prince raises concerns over Trump's plans for massive Iran strikes</w:t>
      </w:r>
    </w:p>
    <w:p>
      <w:pPr>
        <w:pStyle w:val="ListBullet"/>
      </w:pPr>
      <w:r>
        <w:t>Great Gulf pipeline race: which routes will actually be built?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Box Office: 'Spider-Man: Brand New Day' Breaks Opening Day Record With $168 Million</w:t>
      </w:r>
    </w:p>
    <w:p>
      <w:pPr>
        <w:pStyle w:val="ListBullet"/>
      </w:pPr>
      <w:r>
        <w:t>Vincent Pastore Dies: 'The Sopranos' Star Was 80</w:t>
      </w:r>
    </w:p>
    <w:p>
      <w:pPr>
        <w:pStyle w:val="ListBullet"/>
      </w:pPr>
      <w:r>
        <w:t>This New A.I. Chatbot Hunts Nazi-Looted Art</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US President Donald Trump said Middle Eastern allies had reached the outlines of a deal to end the war with Iran and that Washington would hold off on new strikes, after Crown Prince Mohammed bin Salman urged restraint in a Saturday phone call. For the Kingdom, the episode positions Saudi Arabia publicly as a stabilising, de-escalatory voice in the region — a framing with direct value for how its international cultural and tourism ambitions are read abroad. (</w:t>
      </w:r>
      <w:hyperlink r:id="rId9">
        <w:r>
          <w:rPr>
            <w:color w:val="0000FF"/>
            <w:u w:val="single"/>
            <w:rFonts w:ascii="Times New Roman" w:hAnsi="Times New Roman"/>
          </w:rPr>
          <w:t xml:space="preserve">Nikkei Asia</w:t>
        </w:r>
      </w:hyperlink>
      <w:r>
        <w:rPr>
          <w:b w:val="0"/>
        </w:rPr>
        <w:t>)</w:t>
      </w:r>
    </w:p>
    <w:p>
      <w:pPr>
        <w:pStyle w:val="ListBullet"/>
      </w:pPr>
      <w:r>
        <w:rPr>
          <w:b w:val="0"/>
        </w:rPr>
        <w:t>Axios reports that the Crown Prince privately raised concerns with President Trump over plans for large-scale strikes on Iran, warning that hitting Iranian energy infrastructure could invite retaliation against Gulf states — a message reportedly reinforced by Defence Minister Khalid bin Salman during an unannounced visit to Washington. The exchange underscores how exposed the Kingdom judges its own infrastructure to be, and how actively it is working to contain a conflict on its doorstep. (</w:t>
      </w:r>
      <w:hyperlink r:id="rId10">
        <w:r>
          <w:rPr>
            <w:color w:val="0000FF"/>
            <w:u w:val="single"/>
            <w:rFonts w:ascii="Times New Roman" w:hAnsi="Times New Roman"/>
          </w:rPr>
          <w:t xml:space="preserve">Axios</w:t>
        </w:r>
      </w:hyperlink>
      <w:r>
        <w:rPr>
          <w:b w:val="0"/>
        </w:rPr>
        <w:t>)</w:t>
      </w:r>
    </w:p>
    <w:p>
      <w:pPr>
        <w:pStyle w:val="ListBullet"/>
      </w:pPr>
      <w:r>
        <w:rPr>
          <w:b w:val="0"/>
        </w:rPr>
        <w:t>AGBI reports that Saudi Arabia is weighing an expansion of its East-West pipeline to the Red Sea port of Yanbu — potentially adding around two million barrels per day — to reduce reliance on the Strait of Hormuz, even as Houthi activity in the Red Sea exposes that alternative route to its own risks. The energy-security calculus matters well beyond oil, shaping the investment climate that underpins Vision 2030's cultural and tourism build-out. (</w:t>
      </w:r>
      <w:hyperlink r:id="rId11">
        <w:r>
          <w:rPr>
            <w:color w:val="0000FF"/>
            <w:u w:val="single"/>
            <w:rFonts w:ascii="Times New Roman" w:hAnsi="Times New Roman"/>
          </w:rPr>
          <w:t xml:space="preserve">AGBI</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Film:</w:t>
      </w:r>
    </w:p>
    <w:p>
      <w:pPr>
        <w:pStyle w:val="ListBullet"/>
      </w:pPr>
      <w:r>
        <w:rPr>
          <w:b w:val="0"/>
        </w:rPr>
        <w:t>Variety reports that 'Spider-Man: Brand New Day' opened to $168 million domestically, the biggest single opening day in box-office history, surpassing 'Avengers: Endgame'. The result signals that theatrical cinema retains formidable global commercial pull — a useful benchmark for Saudi Arabia's fast-expanding film exhibition and production sector. (</w:t>
      </w:r>
      <w:hyperlink r:id="rId12">
        <w:r>
          <w:rPr>
            <w:color w:val="0000FF"/>
            <w:u w:val="single"/>
            <w:rFonts w:ascii="Times New Roman" w:hAnsi="Times New Roman"/>
          </w:rPr>
          <w:t xml:space="preserve">Variety</w:t>
        </w:r>
      </w:hyperlink>
      <w:r>
        <w:rPr>
          <w:b w:val="0"/>
        </w:rPr>
        <w:t>)</w:t>
      </w:r>
    </w:p>
    <w:p>
      <w:pPr>
        <w:pStyle w:val="ListBullet"/>
      </w:pPr>
      <w:r>
        <w:rPr>
          <w:b w:val="0"/>
        </w:rPr>
        <w:t>Deadline reports the death of actor Vincent Pastore, best known as Salvatore 'Big Pussy' Bonpensiero in 'The Sopranos', at the age of 80. His passing marks the loss of a defining character actor from one of the prestige-television era's most influential dramas, and a reminder of the enduring cultural weight of long-form screen storytelling. (</w:t>
      </w:r>
      <w:hyperlink r:id="rId13">
        <w:r>
          <w:rPr>
            <w:color w:val="0000FF"/>
            <w:u w:val="single"/>
            <w:rFonts w:ascii="Times New Roman" w:hAnsi="Times New Roman"/>
          </w:rPr>
          <w:t xml:space="preserve">Deadline</w:t>
        </w:r>
      </w:hyperlink>
      <w:r>
        <w:rPr>
          <w:b w:val="0"/>
        </w:rPr>
        <w:t>)</w:t>
      </w:r>
    </w:p>
    <w:p>
      <w:pPr>
        <w:pStyle w:val="NoSpacing"/>
      </w:pPr>
      <w:r>
        <w:rPr>
          <w:b/>
          <w:color w:val="000000"/>
        </w:rPr>
        <w:t>Visual Arts:</w:t>
      </w:r>
    </w:p>
    <w:p>
      <w:pPr>
        <w:pStyle w:val="ListBullet"/>
      </w:pPr>
      <w:r>
        <w:rPr>
          <w:b w:val="0"/>
        </w:rPr>
        <w:t>Artnet News reports on a new AI "Provenance Assistant", developed at Santa Clara University, that searches more than 40,000 records to help identify Nazi-looted art. The tool points to a growing role for artificial intelligence in provenance research and restitution — a field of direct relevance to museums and heritage institutions worldwide, including those building major collections across the Gulf. (</w:t>
      </w:r>
      <w:hyperlink r:id="rId14">
        <w:r>
          <w:rPr>
            <w:color w:val="0000FF"/>
            <w:u w:val="single"/>
            <w:rFonts w:ascii="Times New Roman" w:hAnsi="Times New Roman"/>
          </w:rPr>
          <w:t xml:space="preserve">Artnet News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conflict and energy-route instability</w:t>
      </w:r>
    </w:p>
    <w:p>
      <w:pPr>
        <w:pStyle w:val="NoSpacing"/>
      </w:pPr>
      <w:r>
        <w:t>The 2026 Iran war and continued Houthi activity in the Red Sea have placed Gulf energy routes — and the broader sense of regional stability — under strain, with Saudi Arabia now weighing costly infrastructure workarounds to protect its exports. Sustained volatility of this kind can weigh on the investor and visitor confidence on which the Kingdom's cultural and tourism programme ultimately depends.</w:t>
      </w:r>
    </w:p>
    <w:p>
      <w:pPr>
        <w:pStyle w:val="NoSpacing"/>
      </w:pPr>
      <w:r>
        <w:rPr>
          <w:b/>
        </w:rPr>
        <w:t xml:space="preserve">Source: </w:t>
      </w:r>
      <w:hyperlink r:id="rId9">
        <w:r>
          <w:rPr>
            <w:color w:val="0000FF"/>
            <w:u w:val="single"/>
            <w:rFonts w:ascii="Times New Roman" w:hAnsi="Times New Roman"/>
          </w:rPr>
          <w:t xml:space="preserve">Nikkei Asia</w:t>
        </w:r>
      </w:hyperlink>
      <w:r>
        <w:rPr>
          <w:b w:val="0"/>
        </w:rPr>
        <w:t xml:space="preserve">, </w:t>
      </w:r>
      <w:hyperlink r:id="rId11">
        <w:r>
          <w:rPr>
            <w:color w:val="0000FF"/>
            <w:u w:val="single"/>
            <w:rFonts w:ascii="Times New Roman" w:hAnsi="Times New Roman"/>
          </w:rPr>
          <w:t xml:space="preserve">AGBI</w:t>
        </w:r>
      </w:hyperlink>
    </w:p>
    <w:p>
      <w:pPr>
        <w:pStyle w:val="NoSpacing"/>
      </w:pPr>
      <w:r>
        <w:rPr>
          <w:b/>
        </w:rPr>
        <w:t xml:space="preserve">Consideration: </w:t>
      </w:r>
      <w:r>
        <w:t>Keep the Ministry's cultural narrative distinct from regional-security headlines by foregrounding credible delivery, public access, Saudi talent and safe international participation, so that cultural programming reads as a steady, forward-looking constant rather than a hostage to the security cycle.</w:t>
      </w:r>
    </w:p>
    <w:p>
      <w:pPr>
        <w:pStyle w:val="NoSpacing"/>
      </w:pPr>
    </w:p>
    <w:p>
      <w:pPr>
        <w:pStyle w:val="NoSpacing"/>
      </w:pPr>
      <w:r>
        <w:rPr>
          <w:b/>
          <w:color w:val="000000"/>
        </w:rPr>
        <w:t>2. Reputational spillover from a war-adjacent narrative</w:t>
      </w:r>
    </w:p>
    <w:p>
      <w:pPr>
        <w:pStyle w:val="NoSpacing"/>
      </w:pPr>
      <w:r>
        <w:t>With Saudi Arabia positioned at the centre of intense coverage of the Iran conflict, there is a risk that the Kingdom's cultural and soft-power story becomes read through a security lens rather than on its own terms. Even the largely favourable framing of Saudi Arabia as a voice of restraint ties the national brand closely to a volatile geopolitical moment.</w:t>
      </w:r>
    </w:p>
    <w:p>
      <w:pPr>
        <w:pStyle w:val="NoSpacing"/>
      </w:pPr>
      <w:r>
        <w:rPr>
          <w:b/>
        </w:rPr>
        <w:t xml:space="preserve">Source: </w:t>
      </w:r>
      <w:hyperlink r:id="rId9">
        <w:r>
          <w:rPr>
            <w:color w:val="0000FF"/>
            <w:u w:val="single"/>
            <w:rFonts w:ascii="Times New Roman" w:hAnsi="Times New Roman"/>
          </w:rPr>
          <w:t xml:space="preserve">Nikkei Asia</w:t>
        </w:r>
      </w:hyperlink>
      <w:r>
        <w:rPr>
          <w:b w:val="0"/>
        </w:rPr>
        <w:t xml:space="preserve">, </w:t>
      </w:r>
      <w:hyperlink r:id="rId10">
        <w:r>
          <w:rPr>
            <w:color w:val="0000FF"/>
            <w:u w:val="single"/>
            <w:rFonts w:ascii="Times New Roman" w:hAnsi="Times New Roman"/>
          </w:rPr>
          <w:t xml:space="preserve">Axios</w:t>
        </w:r>
      </w:hyperlink>
    </w:p>
    <w:p>
      <w:pPr>
        <w:pStyle w:val="NoSpacing"/>
      </w:pPr>
      <w:r>
        <w:rPr>
          <w:b/>
        </w:rPr>
        <w:t xml:space="preserve">Consideration: </w:t>
      </w:r>
      <w:r>
        <w:t>Reinforce the cultural sector's independent identity — heritage stewardship, festivals, museums and creative-industry skills — as evidence of long-term national investment that continues regardless of the regional security picture.</w:t>
      </w:r>
    </w:p>
    <w:p>
      <w:pPr>
        <w:pStyle w:val="NoSpacing"/>
      </w:pPr>
    </w:p>
    <w:p>
      <w:pPr>
        <w:pStyle w:val="NoSpacing"/>
      </w:pPr>
      <w:r>
        <w:rPr>
          <w:b/>
          <w:color w:val="A66500"/>
        </w:rPr>
        <w:t>Opportunities</w:t>
      </w:r>
    </w:p>
    <w:p>
      <w:pPr>
        <w:pStyle w:val="NoSpacing"/>
      </w:pPr>
      <w:r>
        <w:rPr>
          <w:b/>
          <w:color w:val="000000"/>
        </w:rPr>
        <w:t>1. Saudi Arabia as a regional convening and stabilising voice</w:t>
      </w:r>
    </w:p>
    <w:p>
      <w:pPr>
        <w:pStyle w:val="NoSpacing"/>
      </w:pPr>
      <w:r>
        <w:t>In-window coverage casts the Kingdom as urging de-escalation and helping shape the outline of a framework to reopen the Strait of Hormuz — an image of constructive convening power. That diplomatic capital sits naturally alongside the Ministry's international cultural partnerships and heritage diplomacy.</w:t>
      </w:r>
    </w:p>
    <w:p>
      <w:pPr>
        <w:pStyle w:val="NoSpacing"/>
      </w:pPr>
      <w:r>
        <w:rPr>
          <w:b/>
        </w:rPr>
        <w:t xml:space="preserve">Source: </w:t>
      </w:r>
      <w:hyperlink r:id="rId9">
        <w:r>
          <w:rPr>
            <w:color w:val="0000FF"/>
            <w:u w:val="single"/>
            <w:rFonts w:ascii="Times New Roman" w:hAnsi="Times New Roman"/>
          </w:rPr>
          <w:t xml:space="preserve">Nikkei Asia</w:t>
        </w:r>
      </w:hyperlink>
      <w:r>
        <w:rPr>
          <w:b w:val="0"/>
        </w:rPr>
        <w:t xml:space="preserve">, </w:t>
      </w:r>
      <w:hyperlink r:id="rId15">
        <w:r>
          <w:rPr>
            <w:color w:val="0000FF"/>
            <w:u w:val="single"/>
            <w:rFonts w:ascii="Times New Roman" w:hAnsi="Times New Roman"/>
          </w:rPr>
          <w:t xml:space="preserve">Fortune</w:t>
        </w:r>
      </w:hyperlink>
      <w:r>
        <w:rPr>
          <w:b w:val="0"/>
        </w:rPr>
        <w:t xml:space="preserve">, </w:t>
      </w:r>
      <w:hyperlink r:id="rId10">
        <w:r>
          <w:rPr>
            <w:color w:val="0000FF"/>
            <w:u w:val="single"/>
            <w:rFonts w:ascii="Times New Roman" w:hAnsi="Times New Roman"/>
          </w:rPr>
          <w:t xml:space="preserve">Axios</w:t>
        </w:r>
      </w:hyperlink>
    </w:p>
    <w:p>
      <w:pPr>
        <w:pStyle w:val="NoSpacing"/>
      </w:pPr>
      <w:r>
        <w:rPr>
          <w:b/>
        </w:rPr>
        <w:t xml:space="preserve">Consideration: </w:t>
      </w:r>
      <w:r>
        <w:t>Connect the Kingdom's cultural diplomacy — international festival participation, museum partnerships and heritage exchange — to this broader image of Saudi Arabia as a constructive, outward-facing partner, tying individual cultural announcements into a single national narrative of credible, safe international engagement.</w:t>
      </w:r>
    </w:p>
    <w:p>
      <w:pPr>
        <w:pStyle w:val="NoSpacing"/>
      </w:pPr>
    </w:p>
    <w:p>
      <w:pPr>
        <w:pStyle w:val="NoSpacing"/>
      </w:pPr>
      <w:r>
        <w:rPr>
          <w:b/>
          <w:color w:val="000000"/>
        </w:rPr>
        <w:t>2. Aligning with global cultural-technology and film momentum</w:t>
      </w:r>
    </w:p>
    <w:p>
      <w:pPr>
        <w:pStyle w:val="NoSpacing"/>
      </w:pPr>
      <w:r>
        <w:t>Two global stories this cycle — an AI tool advancing provenance research for looted art, and a record cinema opening — highlight two arenas where Saudi Arabia's own commissions are already active: cultural technology and heritage stewardship on one hand, and film on the other. Positioning the Kingdom within these worldwide movements strengthens the case that its cultural investment is globally current.</w:t>
      </w:r>
    </w:p>
    <w:p>
      <w:pPr>
        <w:pStyle w:val="NoSpacing"/>
      </w:pPr>
      <w:r>
        <w:rPr>
          <w:b/>
        </w:rPr>
        <w:t xml:space="preserve">Source: </w:t>
      </w:r>
      <w:hyperlink r:id="rId14">
        <w:r>
          <w:rPr>
            <w:color w:val="0000FF"/>
            <w:u w:val="single"/>
            <w:rFonts w:ascii="Times New Roman" w:hAnsi="Times New Roman"/>
          </w:rPr>
          <w:t xml:space="preserve">Artnet News</w:t>
        </w:r>
      </w:hyperlink>
      <w:r>
        <w:rPr>
          <w:b w:val="0"/>
        </w:rPr>
        <w:t xml:space="preserve">, </w:t>
      </w:r>
      <w:hyperlink r:id="rId12">
        <w:r>
          <w:rPr>
            <w:color w:val="0000FF"/>
            <w:u w:val="single"/>
            <w:rFonts w:ascii="Times New Roman" w:hAnsi="Times New Roman"/>
          </w:rPr>
          <w:t xml:space="preserve">Variety</w:t>
        </w:r>
      </w:hyperlink>
    </w:p>
    <w:p>
      <w:pPr>
        <w:pStyle w:val="NoSpacing"/>
      </w:pPr>
      <w:r>
        <w:rPr>
          <w:b/>
        </w:rPr>
        <w:t xml:space="preserve">Consideration: </w:t>
      </w:r>
      <w:r>
        <w:t>Frame Saudi heritage-provenance work and film-sector initiatives as part of these international trends rather than isolated announcements, while being careful not to overstate Ministry ownership of stories where it is not directly involved.</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ia.nikkei.com/spotlight/iran-tensions/iran-war/trump-says-mideast-allies-have-reached-outlines-of-deal-to-end-iran-war" TargetMode="External"/><Relationship Id="rId10" Type="http://schemas.openxmlformats.org/officeDocument/2006/relationships/hyperlink" Target="https://www.axios.com/2026/08/01/saudi-crown-prince-trump-iran-attacks" TargetMode="External"/><Relationship Id="rId11" Type="http://schemas.openxmlformats.org/officeDocument/2006/relationships/hyperlink" Target="https://www.agbi.com/analysis/oil-and-gas/2026/08/great-gulf-pipeline-race-which-routes-will-actually-be-built/" TargetMode="External"/><Relationship Id="rId12" Type="http://schemas.openxmlformats.org/officeDocument/2006/relationships/hyperlink" Target="https://variety.com/2026/film/news/box-office-spider-man-brand-new-day-opening-day-record-1236825606/" TargetMode="External"/><Relationship Id="rId13" Type="http://schemas.openxmlformats.org/officeDocument/2006/relationships/hyperlink" Target="https://deadline.com/2026/08/vincent-pastore-dead-the-sopranos-star-big-pussy-1237015282/" TargetMode="External"/><Relationship Id="rId14" Type="http://schemas.openxmlformats.org/officeDocument/2006/relationships/hyperlink" Target="https://news.artnet.com/art-world/ai-provenance-assistant-looted-art-tool-2792609" TargetMode="External"/><Relationship Id="rId15" Type="http://schemas.openxmlformats.org/officeDocument/2006/relationships/hyperlink" Target="https://fortune.com/2026/08/01/trump-iran-strikes-mideast-allies-emerging-strait-of-hormu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