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24 August 2026</w:t>
      </w:r>
    </w:p>
    <w:p>
      <w:pPr>
        <w:pStyle w:val="NoSpacing"/>
      </w:pPr>
    </w:p>
    <w:p>
      <w:pPr>
        <w:pStyle w:val="NoSpacing"/>
      </w:pPr>
      <w:r>
        <w:rPr>
          <w:b/>
          <w:color w:val="4A86E8"/>
        </w:rPr>
        <w:t>Saudi Arabia/Regional</w:t>
      </w:r>
    </w:p>
    <w:p>
      <w:pPr>
        <w:pStyle w:val="ListBullet"/>
      </w:pPr>
      <w:r>
        <w:t>Gulf dreams and Palestinian portraits: Vantage Point Sharjah turns lens on intimate lives</w:t>
      </w:r>
    </w:p>
    <w:p>
      <w:pPr>
        <w:pStyle w:val="ListBullet"/>
      </w:pPr>
      <w:r>
        <w:t>UAE art guide: 12 exhibitions to see, from Spectrum at Manarat Al Saadiyat to orange art at Ayyam Gallery</w:t>
      </w:r>
    </w:p>
    <w:p>
      <w:pPr>
        <w:pStyle w:val="NoSpacing"/>
      </w:pPr>
    </w:p>
    <w:p>
      <w:pPr>
        <w:pStyle w:val="NoSpacing"/>
      </w:pPr>
      <w:r>
        <w:rPr>
          <w:b/>
          <w:color w:val="EE0000"/>
        </w:rPr>
        <w:t>Negative Articles</w:t>
      </w:r>
    </w:p>
    <w:p>
      <w:pPr>
        <w:pStyle w:val="ListBullet"/>
      </w:pPr>
      <w:r>
        <w:t>Saudi Oil Logistics Roiled Again by Houthis' Red Sea Threat</w:t>
      </w:r>
    </w:p>
    <w:p>
      <w:pPr>
        <w:pStyle w:val="NoSpacing"/>
      </w:pPr>
    </w:p>
    <w:p>
      <w:pPr>
        <w:pStyle w:val="NoSpacing"/>
      </w:pPr>
      <w:r>
        <w:rPr>
          <w:b/>
          <w:color w:val="4A86E8"/>
        </w:rPr>
        <w:t>Global</w:t>
      </w:r>
    </w:p>
    <w:p>
      <w:pPr>
        <w:pStyle w:val="ListBullet"/>
      </w:pPr>
      <w:r>
        <w:t>'Spider-Man: Brand New Day' No. 1 $109M WW, 'Insidious' Franchise Rises To $800M WW – Global Box Office</w:t>
      </w:r>
    </w:p>
    <w:p>
      <w:pPr>
        <w:pStyle w:val="ListBullet"/>
      </w:pPr>
      <w:r>
        <w:t>Seal of One of Byzantium's Most Powerful Women, Empress Irene, Found at Perperikon with Rare Christ Image</w:t>
      </w:r>
    </w:p>
    <w:p>
      <w:pPr>
        <w:pStyle w:val="ListBullet"/>
      </w:pPr>
      <w:r>
        <w:t>1,700-Year-Old Chinese Armor Still Shines Thanks to an Ancient Metalworking Secret</w:t>
      </w:r>
    </w:p>
    <w:p>
      <w:pPr>
        <w:pStyle w:val="ListBullet"/>
      </w:pPr>
      <w:r>
        <w:t>Two Bronze Age foals found buried beside an ancient burial mound</w:t>
      </w:r>
    </w:p>
    <w:p>
      <w:pPr>
        <w:pStyle w:val="ListBullet"/>
      </w:pPr>
      <w:r>
        <w:t>The Public Kitchen: How Asian Markets Turn Eating Into Civic Life</w:t>
      </w:r>
    </w:p>
    <w:p>
      <w:pPr>
        <w:pStyle w:val="ListBullet"/>
      </w:pPr>
      <w:r>
        <w:t>Rough drystone walls frame sunken home on Greek island by Alexandre Pavlidis</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Sharjah's biennial Vantage Point photography platform has returned in a documentary-photography edition, drawing on six commissioned artists to explore Gulf migrant life and regional identity, and running at the Photography Gallery in Al Manakh until late November. For Saudi institutions it offers a useful reference point for how a neighbouring Gulf cultural authority uses commissioned, lens-based work to build soft-power narratives around shared regional identity. (</w:t>
      </w:r>
      <w:hyperlink r:id="rId9">
        <w:r>
          <w:rPr>
            <w:color w:val="0000FF"/>
            <w:u w:val="single"/>
            <w:rFonts w:ascii="Times New Roman" w:hAnsi="Times New Roman"/>
          </w:rPr>
          <w:t xml:space="preserve">The National</w:t>
        </w:r>
      </w:hyperlink>
      <w:r>
        <w:rPr>
          <w:b w:val="0"/>
        </w:rPr>
        <w:t>)</w:t>
      </w:r>
    </w:p>
    <w:p>
      <w:pPr>
        <w:pStyle w:val="ListBullet"/>
      </w:pPr>
      <w:r>
        <w:rPr>
          <w:b w:val="0"/>
        </w:rPr>
        <w:t>A guide to twelve current exhibitions across Abu Dhabi, Dubai and Sharjah — spanning photography, painting, sculpture and interactive media — captures the density of the UAE's summer gallery-and-museum programming even through the low season. It illustrates the regional competition for cultural-tourism footfall against which Saudi Arabia's own visual-arts calendar, from Art Week Riyadh to the Diriyah Biennale, is increasingly measured. (</w:t>
      </w:r>
      <w:hyperlink r:id="rId10">
        <w:r>
          <w:rPr>
            <w:color w:val="0000FF"/>
            <w:u w:val="single"/>
            <w:rFonts w:ascii="Times New Roman" w:hAnsi="Times New Roman"/>
          </w:rPr>
          <w:t xml:space="preserve">The National</w:t>
        </w:r>
      </w:hyperlink>
      <w:r>
        <w:rPr>
          <w:b w:val="0"/>
        </w:rPr>
        <w:t>)</w:t>
      </w:r>
    </w:p>
    <w:p>
      <w:pPr>
        <w:pStyle w:val="NoSpacing"/>
      </w:pPr>
    </w:p>
    <w:p>
      <w:pPr>
        <w:pStyle w:val="NoSpacing"/>
      </w:pPr>
      <w:r>
        <w:rPr>
          <w:b/>
          <w:color w:val="EE0000"/>
        </w:rPr>
        <w:t>Negative Articles</w:t>
      </w:r>
    </w:p>
    <w:p>
      <w:pPr>
        <w:pStyle w:val="ListBullet"/>
      </w:pPr>
      <w:r>
        <w:rPr>
          <w:b w:val="0"/>
        </w:rPr>
        <w:t>Saudi Arabia is again rerouting crude tankers on the long voyage around Africa to avoid renewed Houthi threats in the Red Sea, adding roughly two weeks per journey and tightening freight markets, according to Bloomberg. The coverage keeps the Kingdom's exposure to sustained regional conflict visible to international investors and partners at a moment when the cultural and tourism sectors are working to project stability and openness. (</w:t>
      </w:r>
      <w:hyperlink r:id="rId11">
        <w:r>
          <w:rPr>
            <w:color w:val="0000FF"/>
            <w:u w:val="single"/>
            <w:rFonts w:ascii="Times New Roman" w:hAnsi="Times New Roman"/>
          </w:rPr>
          <w:t xml:space="preserve">Bloomberg</w:t>
        </w:r>
      </w:hyperlink>
      <w:r>
        <w:rPr>
          <w:b w:val="0"/>
        </w:rPr>
        <w:t>)</w:t>
      </w:r>
    </w:p>
    <w:p>
      <w:pPr>
        <w:pStyle w:val="NoSpacing"/>
      </w:pPr>
    </w:p>
    <w:p>
      <w:pPr>
        <w:pStyle w:val="NoSpacing"/>
      </w:pPr>
      <w:r>
        <w:rPr>
          <w:b/>
          <w:color w:val="4A86E8"/>
        </w:rPr>
        <w:t>Global</w:t>
      </w:r>
    </w:p>
    <w:p>
      <w:pPr>
        <w:pStyle w:val="NoSpacing"/>
      </w:pPr>
      <w:r>
        <w:rPr>
          <w:b/>
          <w:color w:val="000000"/>
        </w:rPr>
        <w:t>Film:</w:t>
      </w:r>
    </w:p>
    <w:p>
      <w:pPr>
        <w:pStyle w:val="ListBullet"/>
      </w:pPr>
      <w:r>
        <w:rPr>
          <w:b w:val="0"/>
        </w:rPr>
        <w:t>Spider-Man: Brand New Day held the top of the global box office with about $109m for the weekend and has reached $2.22bn worldwide, as the 2026 domestic US box office crossed $7bn, up around 20 per cent year on year. The figures underline that theatrical franchise IP remains the anchor of the global film economy, a relevant signal as Saudi Arabia scales cinema exhibition and its production incentives. (</w:t>
      </w:r>
      <w:hyperlink r:id="rId12">
        <w:r>
          <w:rPr>
            <w:color w:val="0000FF"/>
            <w:u w:val="single"/>
            <w:rFonts w:ascii="Times New Roman" w:hAnsi="Times New Roman"/>
          </w:rPr>
          <w:t xml:space="preserve">Deadline</w:t>
        </w:r>
      </w:hyperlink>
      <w:r>
        <w:rPr>
          <w:b w:val="0"/>
        </w:rPr>
        <w:t>)</w:t>
      </w:r>
    </w:p>
    <w:p>
      <w:pPr>
        <w:pStyle w:val="NoSpacing"/>
      </w:pPr>
      <w:r>
        <w:rPr>
          <w:b/>
          <w:color w:val="000000"/>
        </w:rPr>
        <w:t>Heritage:</w:t>
      </w:r>
    </w:p>
    <w:p>
      <w:pPr>
        <w:pStyle w:val="ListBullet"/>
      </w:pPr>
      <w:r>
        <w:rPr>
          <w:b w:val="0"/>
        </w:rPr>
        <w:t>Archaeologists at Perperikon in Bulgaria have uncovered a rare Byzantine lead seal linked to Empress Irene, carrying an unusual image of Christ and deepening the historical narrative attached to the site. It is a clear example of how a single object find can drive site branding and cultural tourism — a model directly transferable to Saudi Arabia's archaeological storytelling at AlUla and Diriyah. (</w:t>
      </w:r>
      <w:hyperlink r:id="rId13">
        <w:r>
          <w:rPr>
            <w:color w:val="0000FF"/>
            <w:u w:val="single"/>
            <w:rFonts w:ascii="Times New Roman" w:hAnsi="Times New Roman"/>
          </w:rPr>
          <w:t xml:space="preserve">Arkeonews</w:t>
        </w:r>
      </w:hyperlink>
      <w:r>
        <w:rPr>
          <w:b w:val="0"/>
        </w:rPr>
        <w:t>)</w:t>
      </w:r>
    </w:p>
    <w:p>
      <w:pPr>
        <w:pStyle w:val="ListBullet"/>
      </w:pPr>
      <w:r>
        <w:rPr>
          <w:b w:val="0"/>
        </w:rPr>
        <w:t>Scientific analysis has revealed how 1,700-year-old Chinese lamellar armour has kept its shine through an ancient metalworking technique, reflecting the growing fusion of materials science and heritage research. This kind of research-led conservation raises the standard for scholarship around national collections and offers a template for building credibility around heritage assets. (</w:t>
      </w:r>
      <w:hyperlink r:id="rId14">
        <w:r>
          <w:rPr>
            <w:color w:val="0000FF"/>
            <w:u w:val="single"/>
            <w:rFonts w:ascii="Times New Roman" w:hAnsi="Times New Roman"/>
          </w:rPr>
          <w:t xml:space="preserve">Arkeonews</w:t>
        </w:r>
      </w:hyperlink>
      <w:r>
        <w:rPr>
          <w:b w:val="0"/>
        </w:rPr>
        <w:t>)</w:t>
      </w:r>
    </w:p>
    <w:p>
      <w:pPr>
        <w:pStyle w:val="ListBullet"/>
      </w:pPr>
      <w:r>
        <w:rPr>
          <w:b w:val="0"/>
        </w:rPr>
        <w:t>Two Bronze Age foals have been found ritually buried beside a burial mound in Germany, adding to the evidence for Late Bronze Age sacrificial practice. It is the kind of interpretive, human-story-driven find that museums increasingly foreground to make prehistory publicly engaging — a benchmark for narrative-led heritage programming. (</w:t>
      </w:r>
      <w:hyperlink r:id="rId15">
        <w:r>
          <w:rPr>
            <w:color w:val="0000FF"/>
            <w:u w:val="single"/>
            <w:rFonts w:ascii="Times New Roman" w:hAnsi="Times New Roman"/>
          </w:rPr>
          <w:t xml:space="preserve">HeritageDaily</w:t>
        </w:r>
      </w:hyperlink>
      <w:r>
        <w:rPr>
          <w:b w:val="0"/>
        </w:rPr>
        <w:t>)</w:t>
      </w:r>
    </w:p>
    <w:p>
      <w:pPr>
        <w:pStyle w:val="NoSpacing"/>
      </w:pPr>
      <w:r>
        <w:rPr>
          <w:b/>
          <w:color w:val="000000"/>
        </w:rPr>
        <w:t>Architecture and Design:</w:t>
      </w:r>
    </w:p>
    <w:p>
      <w:pPr>
        <w:pStyle w:val="ListBullet"/>
      </w:pPr>
      <w:r>
        <w:rPr>
          <w:b w:val="0"/>
        </w:rPr>
        <w:t>An ArchDaily feature frames Asian food markets as civic architecture and shared public space, examining how everyday eating shapes communal urban life. The lens is increasingly influential in cultural urban planning and is pertinent to Saudi ambitions to weave culinary heritage and souq culture into liveable, identity-rich public realm. (</w:t>
      </w:r>
      <w:hyperlink r:id="rId16">
        <w:r>
          <w:rPr>
            <w:color w:val="0000FF"/>
            <w:u w:val="single"/>
            <w:rFonts w:ascii="Times New Roman" w:hAnsi="Times New Roman"/>
          </w:rPr>
          <w:t xml:space="preserve">ArchDaily</w:t>
        </w:r>
      </w:hyperlink>
      <w:r>
        <w:rPr>
          <w:b w:val="0"/>
        </w:rPr>
        <w:t>)</w:t>
      </w:r>
    </w:p>
    <w:p>
      <w:pPr>
        <w:pStyle w:val="ListBullet"/>
      </w:pPr>
      <w:r>
        <w:rPr>
          <w:b w:val="0"/>
        </w:rPr>
        <w:t>Architect Alexandre Pavlidis has completed a partly sunken house on a Greek island using rough drystone walls, an example of the global design turn towards climate-responsive, place-rooted architecture. It reflects the same regionally grounded modernism Saudi Arabia is pursuing across its Vision 2030 projects and heritage-sensitive builds. (</w:t>
      </w:r>
      <w:hyperlink r:id="rId17">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escalation keeps regional-conflict risk in the investment frame</w:t>
      </w:r>
    </w:p>
    <w:p>
      <w:pPr>
        <w:pStyle w:val="NoSpacing"/>
      </w:pPr>
      <w:r>
        <w:t>Bloomberg reports that Saudi Arabia is again rerouting crude tankers around Africa to avoid renewed Houthi threats in the Red Sea, adding roughly two weeks per voyage and tightening freight markets. Although an energy-logistics story on its face, it keeps the Kingdom's exposure to sustained regional conflict visible to international investors and partners at exactly the moment the cultural and tourism sectors are working to project stability and openness.</w:t>
      </w:r>
    </w:p>
    <w:p>
      <w:pPr>
        <w:pStyle w:val="NoSpacing"/>
      </w:pPr>
      <w:r>
        <w:rPr>
          <w:b/>
        </w:rPr>
        <w:t xml:space="preserve">Source: </w:t>
      </w:r>
      <w:hyperlink r:id="rId11">
        <w:r>
          <w:rPr>
            <w:color w:val="0000FF"/>
            <w:u w:val="single"/>
            <w:rFonts w:ascii="Times New Roman" w:hAnsi="Times New Roman"/>
          </w:rPr>
          <w:t xml:space="preserve">Bloomberg</w:t>
        </w:r>
      </w:hyperlink>
    </w:p>
    <w:p>
      <w:pPr>
        <w:pStyle w:val="NoSpacing"/>
      </w:pPr>
      <w:r>
        <w:rPr>
          <w:b/>
        </w:rPr>
        <w:t xml:space="preserve">Consideration: </w:t>
      </w:r>
      <w:r>
        <w:t>Keep the Ministry's cultural narrative — public access, delivery, Saudi talent and heritage stewardship — visibly distinct from security and energy-logistics coverage, so cultural-tourism confidence is not read through the lens of regional conflict.</w:t>
      </w:r>
    </w:p>
    <w:p>
      <w:pPr>
        <w:pStyle w:val="NoSpacing"/>
      </w:pPr>
    </w:p>
    <w:p>
      <w:pPr>
        <w:pStyle w:val="NoSpacing"/>
      </w:pPr>
      <w:r>
        <w:rPr>
          <w:b/>
          <w:color w:val="A66500"/>
        </w:rPr>
        <w:t>Opportunities</w:t>
      </w:r>
    </w:p>
    <w:p>
      <w:pPr>
        <w:pStyle w:val="NoSpacing"/>
      </w:pPr>
      <w:r>
        <w:rPr>
          <w:b/>
          <w:color w:val="000000"/>
        </w:rPr>
        <w:t>1. Regional visual-arts programming sets a benchmark for the Kingdom's own cultural calendar</w:t>
      </w:r>
    </w:p>
    <w:p>
      <w:pPr>
        <w:pStyle w:val="NoSpacing"/>
      </w:pPr>
      <w:r>
        <w:t>Coverage of Sharjah's Vantage Point documentary-photography platform and a dense guide to a dozen summer exhibitions across Abu Dhabi, Dubai and Sharjah shows how neighbouring Gulf authorities sustain year-round visual-arts programming and cultural-tourism footfall even through the summer lull. Saudi Arabia's own visual-arts calendar — Art Week Riyadh, the Diriyah Biennale and the JAX District — is measured against precisely this regional density.</w:t>
      </w:r>
    </w:p>
    <w:p>
      <w:pPr>
        <w:pStyle w:val="NoSpacing"/>
      </w:pPr>
      <w:r>
        <w:rPr>
          <w:b/>
        </w:rPr>
        <w:t xml:space="preserve">Source: </w:t>
      </w:r>
      <w:hyperlink r:id="rId9">
        <w:r>
          <w:rPr>
            <w:color w:val="0000FF"/>
            <w:u w:val="single"/>
            <w:rFonts w:ascii="Times New Roman" w:hAnsi="Times New Roman"/>
          </w:rPr>
          <w:t xml:space="preserve">The National</w:t>
        </w:r>
      </w:hyperlink>
      <w:r>
        <w:rPr>
          <w:b w:val="0"/>
        </w:rPr>
        <w:t xml:space="preserve">, </w:t>
      </w:r>
      <w:hyperlink r:id="rId10">
        <w:r>
          <w:rPr>
            <w:color w:val="0000FF"/>
            <w:u w:val="single"/>
            <w:rFonts w:ascii="Times New Roman" w:hAnsi="Times New Roman"/>
          </w:rPr>
          <w:t xml:space="preserve">The National</w:t>
        </w:r>
      </w:hyperlink>
    </w:p>
    <w:p>
      <w:pPr>
        <w:pStyle w:val="NoSpacing"/>
      </w:pPr>
      <w:r>
        <w:rPr>
          <w:b/>
        </w:rPr>
        <w:t xml:space="preserve">Consideration: </w:t>
      </w:r>
      <w:r>
        <w:t>The Visual Arts and Museums Commissions could treat the GCC's summer programming as a benchmark for extending Saudi Arabia's own off-season cultural offer, positioning the Kingdom as a year-round rather than seasonal cultural destination.</w:t>
      </w:r>
    </w:p>
    <w:p>
      <w:pPr>
        <w:pStyle w:val="NoSpacing"/>
      </w:pPr>
    </w:p>
    <w:p>
      <w:pPr>
        <w:pStyle w:val="NoSpacing"/>
      </w:pPr>
      <w:r>
        <w:rPr>
          <w:b/>
          <w:color w:val="000000"/>
        </w:rPr>
        <w:t>2. Narrative-led heritage discoveries abroad model an approach transferable to Saudi sites</w:t>
      </w:r>
    </w:p>
    <w:p>
      <w:pPr>
        <w:pStyle w:val="NoSpacing"/>
      </w:pPr>
      <w:r>
        <w:t>A cluster of international heritage finds — a rare Byzantine imperial seal at Perperikon and preserved 1,700-year-old Chinese armour reported by Arkeonews, and a ritual Bronze Age foal burial in Germany reported by HeritageDaily — shows how single, human-story-driven object discoveries are used to build site branding and public engagement. The same interpretive model underpins Saudi Arabia's investment in archaeological storytelling at AlUla, Dadan and Diriyah.</w:t>
      </w:r>
    </w:p>
    <w:p>
      <w:pPr>
        <w:pStyle w:val="NoSpacing"/>
      </w:pPr>
      <w:r>
        <w:rPr>
          <w:b/>
        </w:rPr>
        <w:t xml:space="preserve">Source: </w:t>
      </w:r>
      <w:hyperlink r:id="rId13">
        <w:r>
          <w:rPr>
            <w:color w:val="0000FF"/>
            <w:u w:val="single"/>
            <w:rFonts w:ascii="Times New Roman" w:hAnsi="Times New Roman"/>
          </w:rPr>
          <w:t xml:space="preserve">Arkeonews</w:t>
        </w:r>
      </w:hyperlink>
      <w:r>
        <w:rPr>
          <w:b w:val="0"/>
        </w:rPr>
        <w:t xml:space="preserve">, </w:t>
      </w:r>
      <w:hyperlink r:id="rId14">
        <w:r>
          <w:rPr>
            <w:color w:val="0000FF"/>
            <w:u w:val="single"/>
            <w:rFonts w:ascii="Times New Roman" w:hAnsi="Times New Roman"/>
          </w:rPr>
          <w:t xml:space="preserve">Arkeonews</w:t>
        </w:r>
      </w:hyperlink>
      <w:r>
        <w:rPr>
          <w:b w:val="0"/>
        </w:rPr>
        <w:t xml:space="preserve">, </w:t>
      </w:r>
      <w:hyperlink r:id="rId15">
        <w:r>
          <w:rPr>
            <w:color w:val="0000FF"/>
            <w:u w:val="single"/>
            <w:rFonts w:ascii="Times New Roman" w:hAnsi="Times New Roman"/>
          </w:rPr>
          <w:t xml:space="preserve">HeritageDaily</w:t>
        </w:r>
      </w:hyperlink>
    </w:p>
    <w:p>
      <w:pPr>
        <w:pStyle w:val="NoSpacing"/>
      </w:pPr>
      <w:r>
        <w:rPr>
          <w:b/>
        </w:rPr>
        <w:t xml:space="preserve">Consideration: </w:t>
      </w:r>
      <w:r>
        <w:t>The Heritage Commission can keep foregrounding individual, narratable discoveries from Saudi excavations, converting scholarly finds into public-facing cultural-tourism stories rather than leaving them as technical announcements.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nationalnews.com/arts-culture/art-design/2026/08/24/vantage-point-sharjah-2026/" TargetMode="External"/><Relationship Id="rId10" Type="http://schemas.openxmlformats.org/officeDocument/2006/relationships/hyperlink" Target="https://www.thenationalnews.com/arts-culture/art-design/2026/08/23/uae-guide-museum-gallery-exhibitions-to-see-abu-dhabi-dubai/" TargetMode="External"/><Relationship Id="rId11" Type="http://schemas.openxmlformats.org/officeDocument/2006/relationships/hyperlink" Target="https://www.bloomberg.com/news/articles/2026-08-23/saudis-oil-logistics-roiled-again-by-houthis-red-sea-threat" TargetMode="External"/><Relationship Id="rId12" Type="http://schemas.openxmlformats.org/officeDocument/2006/relationships/hyperlink" Target="https://deadline.com/2026/08/global-box-office-spider-man-brand-new-day-insidious-6-1237048315/" TargetMode="External"/><Relationship Id="rId13" Type="http://schemas.openxmlformats.org/officeDocument/2006/relationships/hyperlink" Target="https://arkeonews.net/seal-of-one-of-byzantiums-most-powerful-women-empress-irene-found-at-perperikon-with-rare-christ-image/" TargetMode="External"/><Relationship Id="rId14" Type="http://schemas.openxmlformats.org/officeDocument/2006/relationships/hyperlink" Target="https://arkeonews.net/1700-year-old-chinese-armor-still-shines-thanks-to-an-ancient-metalworking-secret/" TargetMode="External"/><Relationship Id="rId15" Type="http://schemas.openxmlformats.org/officeDocument/2006/relationships/hyperlink" Target="https://www.heritagedaily.com/2026/08/two-bronze-age-foals-found-buried-beside-an-ancient-burial-mound/159038" TargetMode="External"/><Relationship Id="rId16" Type="http://schemas.openxmlformats.org/officeDocument/2006/relationships/hyperlink" Target="https://www.archdaily.com/1183562/the-public-kitchen-how-asian-markets-turn-eating-into-civic-life" TargetMode="External"/><Relationship Id="rId17" Type="http://schemas.openxmlformats.org/officeDocument/2006/relationships/hyperlink" Target="https://www.dezeen.com/2026/08/23/within-the-earth-alexandre-pavlid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