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27 August 2026</w:t>
      </w:r>
    </w:p>
    <w:p>
      <w:pPr>
        <w:pStyle w:val="NoSpacing"/>
      </w:pPr>
    </w:p>
    <w:p>
      <w:pPr>
        <w:pStyle w:val="NoSpacing"/>
      </w:pPr>
      <w:r>
        <w:rPr>
          <w:b/>
          <w:color w:val="4A86E8"/>
        </w:rPr>
        <w:t>Saudi Arabia/Regional</w:t>
      </w:r>
    </w:p>
    <w:p>
      <w:pPr>
        <w:pStyle w:val="ListBullet"/>
      </w:pPr>
      <w:r>
        <w:t>Saudi Architecture and Design Commission launches a national professional learning platform for the design sector</w:t>
      </w:r>
    </w:p>
    <w:p>
      <w:pPr>
        <w:pStyle w:val="ListBullet"/>
      </w:pPr>
      <w:r>
        <w:t>Dalia Mubarak, one of the Kingdom's most prominent female singers, announces her retirement from music</w:t>
      </w:r>
    </w:p>
    <w:p>
      <w:pPr>
        <w:pStyle w:val="NoSpacing"/>
      </w:pPr>
    </w:p>
    <w:p>
      <w:pPr>
        <w:pStyle w:val="NoSpacing"/>
      </w:pPr>
      <w:r>
        <w:rPr>
          <w:b/>
          <w:color w:val="EE0000"/>
        </w:rPr>
        <w:t>Negative Articles</w:t>
      </w:r>
    </w:p>
    <w:p>
      <w:pPr>
        <w:pStyle w:val="ListBullet"/>
      </w:pPr>
      <w:r>
        <w:t>Saudi Arabia's renewable-energy sector faces renewed human-rights scrutiny over unresolved migrant-labour abuses</w:t>
      </w:r>
    </w:p>
    <w:p>
      <w:pPr>
        <w:pStyle w:val="ListBullet"/>
      </w:pPr>
      <w:r>
        <w:t>Under threat, Saudi Arabia reroutes oil exports away from the Red Sea</w:t>
      </w:r>
    </w:p>
    <w:p>
      <w:pPr>
        <w:pStyle w:val="ListBullet"/>
      </w:pPr>
      <w:r>
        <w:t>Trump sends the US–Saudi civil-nuclear agreement to Congress for review</w:t>
      </w:r>
    </w:p>
    <w:p>
      <w:pPr>
        <w:pStyle w:val="NoSpacing"/>
      </w:pPr>
    </w:p>
    <w:p>
      <w:pPr>
        <w:pStyle w:val="NoSpacing"/>
      </w:pPr>
      <w:r>
        <w:rPr>
          <w:b/>
          <w:color w:val="4A86E8"/>
        </w:rPr>
        <w:t>Global</w:t>
      </w:r>
    </w:p>
    <w:p>
      <w:pPr>
        <w:pStyle w:val="ListBullet"/>
      </w:pPr>
      <w:r>
        <w:t>Chinese artist Gao Zhen sentenced to three years over satirical Mao statues</w:t>
      </w:r>
    </w:p>
    <w:p>
      <w:pPr>
        <w:pStyle w:val="ListBullet"/>
      </w:pPr>
      <w:r>
        <w:t>An artist's device slows down Citi Bikes in less affordable New York neighbourhoods</w:t>
      </w:r>
    </w:p>
    <w:p>
      <w:pPr>
        <w:pStyle w:val="ListBullet"/>
      </w:pPr>
      <w:r>
        <w:t>A unique 11,000-year-old statue of a human seated on a leopard is unearthed at Karahantepe</w:t>
      </w:r>
    </w:p>
    <w:p>
      <w:pPr>
        <w:pStyle w:val="ListBullet"/>
      </w:pPr>
      <w:r>
        <w:t>Marina Abramović, Lee Daniels and Nadine Labaki win Liberatum's 2026 Pioneer Awards</w:t>
      </w:r>
    </w:p>
    <w:p>
      <w:pPr>
        <w:pStyle w:val="ListBullet"/>
      </w:pPr>
      <w:r>
        <w:t>Three Los Angeles museums join forces to examine architect Paul Revere Williams</w:t>
      </w:r>
    </w:p>
    <w:p>
      <w:pPr>
        <w:pStyle w:val="NoSpacing"/>
      </w:pPr>
    </w:p>
    <w:p>
      <w:r>
        <w:br w:type="page"/>
      </w:r>
    </w:p>
    <w:p>
      <w:pPr>
        <w:pStyle w:val="NoSpacing"/>
      </w:pPr>
      <w:r>
        <w:rPr>
          <w:b/>
          <w:color w:val="4A86E8"/>
        </w:rPr>
        <w:t>Saudi Arabia/Regional</w:t>
      </w:r>
    </w:p>
    <w:p>
      <w:pPr>
        <w:pStyle w:val="NoSpacing"/>
      </w:pPr>
      <w:r>
        <w:rPr>
          <w:b/>
          <w:color w:val="000000"/>
        </w:rPr>
        <w:t>Architecture and Design:</w:t>
      </w:r>
    </w:p>
    <w:p>
      <w:pPr>
        <w:pStyle w:val="ListBullet"/>
      </w:pPr>
      <w:r>
        <w:rPr>
          <w:b w:val="0"/>
        </w:rPr>
        <w:t>Saudi Arabia's Architecture and Design Commission — one of the Ministry of Culture's sector commissions — has launched a digital Professional Learning and Development Platform, delivered through the government's FutureX e-learning service, offering practitioners and students courses, assessments and progress tracking across design excellence, cultural heritage, sustainability and contemporary practice. Rolling structured, credentialed training out to the wider design community marks a shift from one-off events towards durable skills infrastructure, strengthening the talent pipeline that underpins the Kingdom's creative-economy ambitions under Vision 2030. (</w:t>
      </w:r>
      <w:hyperlink r:id="rId9">
        <w:r>
          <w:rPr>
            <w:color w:val="0000FF"/>
            <w:u w:val="single"/>
            <w:rFonts w:ascii="Times New Roman" w:hAnsi="Times New Roman"/>
          </w:rPr>
          <w:t xml:space="preserve">CairoScene</w:t>
        </w:r>
      </w:hyperlink>
      <w:r>
        <w:rPr>
          <w:b w:val="0"/>
        </w:rPr>
        <w:t>)</w:t>
      </w:r>
    </w:p>
    <w:p>
      <w:pPr>
        <w:pStyle w:val="NoSpacing"/>
      </w:pPr>
      <w:r>
        <w:rPr>
          <w:b/>
          <w:color w:val="000000"/>
        </w:rPr>
        <w:t>Music:</w:t>
      </w:r>
    </w:p>
    <w:p>
      <w:pPr>
        <w:pStyle w:val="ListBullet"/>
      </w:pPr>
      <w:r>
        <w:rPr>
          <w:b w:val="0"/>
        </w:rPr>
        <w:t>Dalia Mubarak, one of the Kingdom's most prominent female singers, has announced her retirement from music via Instagram, saying the profession had taken a heavy toll on her health and wellbeing, with a final appearance planned alongside her children on a televised talent show. Widely picked up across Egyptian and Gulf outlets (Arabic-language coverage), the news underlines how individual Saudi artists have become recognisable cultural figures across the Arab world — a soft-power dimension the Ministry's music and talent-development work aims to nurture and retain. (</w:t>
      </w:r>
      <w:hyperlink r:id="rId10">
        <w:r>
          <w:rPr>
            <w:color w:val="0000FF"/>
            <w:u w:val="single"/>
            <w:rFonts w:ascii="Times New Roman" w:hAnsi="Times New Roman"/>
          </w:rPr>
          <w:t xml:space="preserve">Youm7</w:t>
        </w:r>
      </w:hyperlink>
      <w:r>
        <w:rPr>
          <w:b w:val="0"/>
        </w:rPr>
        <w:t>)</w:t>
      </w:r>
    </w:p>
    <w:p>
      <w:pPr>
        <w:pStyle w:val="NoSpacing"/>
      </w:pPr>
    </w:p>
    <w:p>
      <w:pPr>
        <w:pStyle w:val="NoSpacing"/>
      </w:pPr>
      <w:r>
        <w:rPr>
          <w:b/>
          <w:color w:val="EE0000"/>
        </w:rPr>
        <w:t>Negative Articles</w:t>
      </w:r>
    </w:p>
    <w:p>
      <w:pPr>
        <w:pStyle w:val="ListBullet"/>
      </w:pPr>
      <w:r>
        <w:rPr>
          <w:b w:val="0"/>
        </w:rPr>
        <w:t>Fresh research from the Business &amp; Human Rights Resource Centre alleges that migrant workers who reported abuses on Saudi renewable-energy projects in 2025 — recruitment-fee theft, withheld wages and inadequate heat protection — have received no remedy a year on, with 14 of 17 workers re-interviewed reporting no improvement and the multinationals and financiers linked to the projects said to have failed to respond adequately. The story ties Saudi Arabia's green-transition narrative to persistent labour-rights scrutiny, a reputational thread that can bleed into how the Kingdom's wider Vision 2030 and cultural-infrastructure programmes are read internationally. (</w:t>
      </w:r>
      <w:hyperlink r:id="rId11">
        <w:r>
          <w:rPr>
            <w:color w:val="0000FF"/>
            <w:u w:val="single"/>
            <w:rFonts w:ascii="Times New Roman" w:hAnsi="Times New Roman"/>
          </w:rPr>
          <w:t xml:space="preserve">Energy Live News</w:t>
        </w:r>
      </w:hyperlink>
      <w:r>
        <w:rPr>
          <w:b w:val="0"/>
        </w:rPr>
        <w:t>)</w:t>
      </w:r>
    </w:p>
    <w:p>
      <w:pPr>
        <w:pStyle w:val="ListBullet"/>
      </w:pPr>
      <w:r>
        <w:rPr>
          <w:b w:val="0"/>
        </w:rPr>
        <w:t>The New York Times reports that Saudi Arabia is again rerouting crude exports away from the Red Sea as Houthi threats to shipping persist, shifting more loadings towards Persian Gulf terminals to protect its export flows. Beyond the energy dimension, the continuing insecurity around the Red Sea and Bab el-Mandeb corridor keeps a security-risk backdrop attached to the region that can weigh on international perceptions of travel, tourism and cultural exchange along the Kingdom's western coast. (</w:t>
      </w:r>
      <w:hyperlink r:id="rId12">
        <w:r>
          <w:rPr>
            <w:color w:val="0000FF"/>
            <w:u w:val="single"/>
            <w:rFonts w:ascii="Times New Roman" w:hAnsi="Times New Roman"/>
          </w:rPr>
          <w:t xml:space="preserve">New York Times</w:t>
        </w:r>
      </w:hyperlink>
      <w:r>
        <w:rPr>
          <w:b w:val="0"/>
        </w:rPr>
        <w:t>)</w:t>
      </w:r>
    </w:p>
    <w:p>
      <w:pPr>
        <w:pStyle w:val="ListBullet"/>
      </w:pPr>
      <w:r>
        <w:rPr>
          <w:b w:val="0"/>
        </w:rPr>
        <w:t>France 24 reports that the Trump administration has sent its civil-nuclear cooperation agreement with Saudi Arabia to Congress for review, a deal that could open a pathway to uranium enrichment on Saudi soil and which several lawmakers and non-proliferation experts have criticised as a proliferation risk; the White House also maintains it is contingent on Saudi normalisation with Israel. The framing keeps Saudi Arabia in a contested geopolitical debate over enrichment and regional security — a narrative best kept clearly separate from the Kingdom's cultural and heritage story. (</w:t>
      </w:r>
      <w:hyperlink r:id="rId13">
        <w:r>
          <w:rPr>
            <w:color w:val="0000FF"/>
            <w:u w:val="single"/>
            <w:rFonts w:ascii="Times New Roman" w:hAnsi="Times New Roman"/>
          </w:rPr>
          <w:t xml:space="preserve">France 24</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Chinese dissident artist Gao Zhen has been sentenced to three years in prison by a court in Hebei province for "insulting the reputation of heroes and martyrs", over satirical sculptures of Mao Zedong made more than a decade ago, with rights groups condemning the maximum term as an assault on artistic freedom; he intends to appeal. The case is a sharp reminder of how quickly artistic expression and state power can collide, and of the reputational value for any cultural authority in being seen to protect creative freedom and due process. (</w:t>
      </w:r>
      <w:hyperlink r:id="rId14">
        <w:r>
          <w:rPr>
            <w:color w:val="0000FF"/>
            <w:u w:val="single"/>
            <w:rFonts w:ascii="Times New Roman" w:hAnsi="Times New Roman"/>
          </w:rPr>
          <w:t xml:space="preserve">Washington Times</w:t>
        </w:r>
      </w:hyperlink>
      <w:r>
        <w:rPr>
          <w:b w:val="0"/>
        </w:rPr>
        <w:t>)</w:t>
      </w:r>
    </w:p>
    <w:p>
      <w:pPr>
        <w:pStyle w:val="ListBullet"/>
      </w:pPr>
      <w:r>
        <w:rPr>
          <w:b w:val="0"/>
        </w:rPr>
        <w:t>The artist Justin Blinder has unveiled "Ground Truth", a device fitted to a Citi Bike that increases pedalling resistance as a rider crosses into less affordable New York neighbourhoods, turning the city's housing inequality into something physically felt over a 35-mile test route. The project is a neat instance of socially engaged public art using everyday urban infrastructure as its medium — an approach increasingly relevant to cities, including across the Gulf, that are building new creative districts and public-art programmes. (</w:t>
      </w:r>
      <w:hyperlink r:id="rId15">
        <w:r>
          <w:rPr>
            <w:color w:val="0000FF"/>
            <w:u w:val="single"/>
            <w:rFonts w:ascii="Times New Roman" w:hAnsi="Times New Roman"/>
          </w:rPr>
          <w:t xml:space="preserve">Hyperallergic</w:t>
        </w:r>
      </w:hyperlink>
      <w:r>
        <w:rPr>
          <w:b w:val="0"/>
        </w:rPr>
        <w:t>)</w:t>
      </w:r>
    </w:p>
    <w:p>
      <w:pPr>
        <w:pStyle w:val="NoSpacing"/>
      </w:pPr>
      <w:r>
        <w:rPr>
          <w:b/>
          <w:color w:val="000000"/>
        </w:rPr>
        <w:t>Heritage:</w:t>
      </w:r>
    </w:p>
    <w:p>
      <w:pPr>
        <w:pStyle w:val="ListBullet"/>
      </w:pPr>
      <w:r>
        <w:rPr>
          <w:b w:val="0"/>
        </w:rPr>
        <w:t>Archaeologists at Karahantepe in south-eastern Türkiye have unearthed a 70-centimetre, roughly 11,000-year-old composite statue of a human figure seated on a leopard — announced by Türkiye's culture minister as the first known example at the site of a human shown astride the animal rather than carrying it. The find deepens understanding of Neolithic symbolic life across the wider region and offers a useful benchmark for Saudi Arabia's own fast-developing archaeology sector, where sites such as AlUla and Al-Faw are pursuing comparable international scholarly attention. (</w:t>
      </w:r>
      <w:hyperlink r:id="rId16">
        <w:r>
          <w:rPr>
            <w:color w:val="0000FF"/>
            <w:u w:val="single"/>
            <w:rFonts w:ascii="Times New Roman" w:hAnsi="Times New Roman"/>
          </w:rPr>
          <w:t xml:space="preserve">The Peninsula</w:t>
        </w:r>
      </w:hyperlink>
      <w:r>
        <w:rPr>
          <w:b w:val="0"/>
        </w:rPr>
        <w:t>)</w:t>
      </w:r>
    </w:p>
    <w:p>
      <w:pPr>
        <w:pStyle w:val="NoSpacing"/>
      </w:pPr>
      <w:r>
        <w:rPr>
          <w:b/>
          <w:color w:val="000000"/>
        </w:rPr>
        <w:t>Film:</w:t>
      </w:r>
    </w:p>
    <w:p>
      <w:pPr>
        <w:pStyle w:val="ListBullet"/>
      </w:pPr>
      <w:r>
        <w:rPr>
          <w:b w:val="0"/>
        </w:rPr>
        <w:t>Performance artist Marina Abramović, film-maker Lee Daniels and director Nadine Labaki have been named winners of Liberatum's 2026 Pioneer Awards, to be presented at the Venice Film Festival as part of the cultural-diplomacy organisation's new Art &amp; Cinema programme marking its 25th anniversary. The awards underline how cross-disciplinary cultural-diplomacy platforms are gaining prominence at major festivals — a model the Kingdom's own festival and biennale calendar can draw on as it seeks deeper international cultural partnerships. (</w:t>
      </w:r>
      <w:hyperlink r:id="rId17">
        <w:r>
          <w:rPr>
            <w:color w:val="0000FF"/>
            <w:u w:val="single"/>
            <w:rFonts w:ascii="Times New Roman" w:hAnsi="Times New Roman"/>
          </w:rPr>
          <w:t xml:space="preserve">The Hollywood Reporter</w:t>
        </w:r>
      </w:hyperlink>
      <w:r>
        <w:rPr>
          <w:b w:val="0"/>
        </w:rPr>
        <w:t>)</w:t>
      </w:r>
    </w:p>
    <w:p>
      <w:pPr>
        <w:pStyle w:val="NoSpacing"/>
      </w:pPr>
      <w:r>
        <w:rPr>
          <w:b/>
          <w:color w:val="000000"/>
        </w:rPr>
        <w:t>Museums:</w:t>
      </w:r>
    </w:p>
    <w:p>
      <w:pPr>
        <w:pStyle w:val="ListBullet"/>
      </w:pPr>
      <w:r>
        <w:rPr>
          <w:b w:val="0"/>
        </w:rPr>
        <w:t>Three Los Angeles museums have announced a joint initiative to examine the life and work of the pioneering African American architect Paul Revere Williams, pooling collections and scholarship across institutions rather than mounting competing single-venue shows. The collaborative, multi-institution model is an instructive one for the Kingdom's growing museum sector, showing how shared programming can build a richer public narrative around a single subject. (</w:t>
      </w:r>
      <w:hyperlink r:id="rId18">
        <w:r>
          <w:rPr>
            <w:color w:val="0000FF"/>
            <w:u w:val="single"/>
            <w:rFonts w:ascii="Times New Roman" w:hAnsi="Times New Roman"/>
          </w:rPr>
          <w:t xml:space="preserve">ARTnews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insecurity and the nuclear-deal debate widen the geopolitical backdrop</w:t>
      </w:r>
    </w:p>
    <w:p>
      <w:pPr>
        <w:pStyle w:val="NoSpacing"/>
      </w:pPr>
      <w:r>
        <w:t>Two separate stories this cycle keep a security-and-scrutiny frame attached to Saudi Arabia: the continued rerouting of crude away from the Red Sea under persistent Houthi threat, and the arrival in the US Congress of a US–Saudi civil-nuclear agreement that critics warn could open an enrichment pathway and that remains tied to normalisation with Israel. Neither is a cultural story, but together they sustain a geopolitical narrative that can crowd out cultural coverage and colour international readings of the Kingdom.</w:t>
      </w:r>
    </w:p>
    <w:p>
      <w:pPr>
        <w:pStyle w:val="NoSpacing"/>
      </w:pPr>
      <w:r>
        <w:rPr>
          <w:b/>
        </w:rPr>
        <w:t xml:space="preserve">Source: </w:t>
      </w:r>
      <w:hyperlink r:id="rId12">
        <w:r>
          <w:rPr>
            <w:color w:val="0000FF"/>
            <w:u w:val="single"/>
            <w:rFonts w:ascii="Times New Roman" w:hAnsi="Times New Roman"/>
          </w:rPr>
          <w:t xml:space="preserve">New York Times</w:t>
        </w:r>
      </w:hyperlink>
      <w:r>
        <w:rPr>
          <w:b w:val="0"/>
        </w:rPr>
        <w:t xml:space="preserve">, </w:t>
      </w:r>
      <w:hyperlink r:id="rId13">
        <w:r>
          <w:rPr>
            <w:color w:val="0000FF"/>
            <w:u w:val="single"/>
            <w:rFonts w:ascii="Times New Roman" w:hAnsi="Times New Roman"/>
          </w:rPr>
          <w:t xml:space="preserve">France 24</w:t>
        </w:r>
      </w:hyperlink>
    </w:p>
    <w:p>
      <w:pPr>
        <w:pStyle w:val="NoSpacing"/>
      </w:pPr>
      <w:r>
        <w:rPr>
          <w:b/>
        </w:rPr>
        <w:t xml:space="preserve">Consideration: </w:t>
      </w:r>
      <w:r>
        <w:t>The Ministry should keep its cultural and heritage messaging clearly distinct from the security and non-proliferation debate, foregrounding public access, Saudi talent, heritage stewardship and safe international participation so that cultural programming is not read through a geopolitical lens.</w:t>
      </w:r>
    </w:p>
    <w:p>
      <w:pPr>
        <w:pStyle w:val="NoSpacing"/>
      </w:pPr>
    </w:p>
    <w:p>
      <w:pPr>
        <w:pStyle w:val="NoSpacing"/>
      </w:pPr>
      <w:r>
        <w:rPr>
          <w:b/>
          <w:color w:val="000000"/>
        </w:rPr>
        <w:t>2. Labour-rights scrutiny attaches to the Vision 2030 delivery story</w:t>
      </w:r>
    </w:p>
    <w:p>
      <w:pPr>
        <w:pStyle w:val="NoSpacing"/>
      </w:pPr>
      <w:r>
        <w:t>New research alleging that migrant workers on Saudi renewable-energy projects have received no remedy a year after reporting recruitment-fee theft, withheld wages and inadequate heat protection keeps labour conditions in the frame as the Kingdom builds out the infrastructure behind its economic-diversification agenda. Because cultural mega-projects share the same construction-and-delivery ecosystem, this scrutiny can spill over into how the Ministry's own capital projects are perceived.</w:t>
      </w:r>
    </w:p>
    <w:p>
      <w:pPr>
        <w:pStyle w:val="NoSpacing"/>
      </w:pPr>
      <w:r>
        <w:rPr>
          <w:b/>
        </w:rPr>
        <w:t xml:space="preserve">Source: </w:t>
      </w:r>
      <w:hyperlink r:id="rId11">
        <w:r>
          <w:rPr>
            <w:color w:val="0000FF"/>
            <w:u w:val="single"/>
            <w:rFonts w:ascii="Times New Roman" w:hAnsi="Times New Roman"/>
          </w:rPr>
          <w:t xml:space="preserve">Energy Live News</w:t>
        </w:r>
      </w:hyperlink>
    </w:p>
    <w:p>
      <w:pPr>
        <w:pStyle w:val="NoSpacing"/>
      </w:pPr>
      <w:r>
        <w:rPr>
          <w:b/>
        </w:rPr>
        <w:t xml:space="preserve">Consideration: </w:t>
      </w:r>
      <w:r>
        <w:t>The Ministry can insulate its cultural-infrastructure programme by foregrounding credible standards on worker welfare, skills development and local employment, and by making the professionalism of its delivery visible rather than assumed.</w:t>
      </w:r>
    </w:p>
    <w:p>
      <w:pPr>
        <w:pStyle w:val="NoSpacing"/>
      </w:pPr>
    </w:p>
    <w:p>
      <w:pPr>
        <w:pStyle w:val="NoSpacing"/>
      </w:pPr>
      <w:r>
        <w:rPr>
          <w:b/>
          <w:color w:val="A66500"/>
        </w:rPr>
        <w:t>Opportunities</w:t>
      </w:r>
    </w:p>
    <w:p>
      <w:pPr>
        <w:pStyle w:val="NoSpacing"/>
      </w:pPr>
      <w:r>
        <w:rPr>
          <w:b/>
          <w:color w:val="000000"/>
        </w:rPr>
        <w:t>1. Investing in cultural skills and talent as durable soft-power assets</w:t>
      </w:r>
    </w:p>
    <w:p>
      <w:pPr>
        <w:pStyle w:val="NoSpacing"/>
      </w:pPr>
      <w:r>
        <w:t>Two very different stories point to the same opportunity. The Architecture and Design Commission's new professional learning platform shows the Ministry moving from one-off events towards durable, credentialed skills infrastructure, while the wide regional coverage of singer Dalia Mubarak's retirement is a reminder that individual Saudi artists have become recognisable cultural figures across the Arab world. Building the pipeline and retaining the talent are two sides of the same soft-power strategy.</w:t>
      </w:r>
    </w:p>
    <w:p>
      <w:pPr>
        <w:pStyle w:val="NoSpacing"/>
      </w:pPr>
      <w:r>
        <w:rPr>
          <w:b/>
        </w:rPr>
        <w:t xml:space="preserve">Source: </w:t>
      </w:r>
      <w:hyperlink r:id="rId9">
        <w:r>
          <w:rPr>
            <w:color w:val="0000FF"/>
            <w:u w:val="single"/>
            <w:rFonts w:ascii="Times New Roman" w:hAnsi="Times New Roman"/>
          </w:rPr>
          <w:t xml:space="preserve">CairoScene</w:t>
        </w:r>
      </w:hyperlink>
      <w:r>
        <w:rPr>
          <w:b w:val="0"/>
        </w:rPr>
        <w:t xml:space="preserve">, </w:t>
      </w:r>
      <w:hyperlink r:id="rId10">
        <w:r>
          <w:rPr>
            <w:color w:val="0000FF"/>
            <w:u w:val="single"/>
            <w:rFonts w:ascii="Times New Roman" w:hAnsi="Times New Roman"/>
          </w:rPr>
          <w:t xml:space="preserve">Youm7</w:t>
        </w:r>
      </w:hyperlink>
    </w:p>
    <w:p>
      <w:pPr>
        <w:pStyle w:val="NoSpacing"/>
      </w:pPr>
      <w:r>
        <w:rPr>
          <w:b/>
        </w:rPr>
        <w:t xml:space="preserve">Consideration: </w:t>
      </w:r>
      <w:r>
        <w:t>The Ministry can connect these threads into a single narrative about investing in Saudi creative talent end to end — from training and credentialing through to sustaining and celebrating established artists — rather than treating skills programmes and individual-artist stories as unrelated announcements.</w:t>
      </w:r>
    </w:p>
    <w:p>
      <w:pPr>
        <w:pStyle w:val="NoSpacing"/>
      </w:pPr>
    </w:p>
    <w:p>
      <w:pPr>
        <w:pStyle w:val="NoSpacing"/>
      </w:pPr>
      <w:r>
        <w:rPr>
          <w:b/>
          <w:color w:val="000000"/>
        </w:rPr>
        <w:t>2. International benchmarks for heritage, cultural diplomacy and museum collaboration</w:t>
      </w:r>
    </w:p>
    <w:p>
      <w:pPr>
        <w:pStyle w:val="NoSpacing"/>
      </w:pPr>
      <w:r>
        <w:t>Several global stories this cycle map neatly onto Saudi cultural priorities: a major Neolithic discovery at Karahantepe underlines the international scholarly attention that ambitious archaeology attracts; a cross-disciplinary cultural-diplomacy award programme at the Venice Film Festival shows how festivals build soft power; and a three-museum collaboration in Los Angeles demonstrates the reach of shared, multi-institution programming. Each offers a model relevant to the Kingdom's heritage sites, festival calendar and fast-growing museum sector.</w:t>
      </w:r>
    </w:p>
    <w:p>
      <w:pPr>
        <w:pStyle w:val="NoSpacing"/>
      </w:pPr>
      <w:r>
        <w:rPr>
          <w:b/>
        </w:rPr>
        <w:t xml:space="preserve">Source: </w:t>
      </w:r>
      <w:hyperlink r:id="rId16">
        <w:r>
          <w:rPr>
            <w:color w:val="0000FF"/>
            <w:u w:val="single"/>
            <w:rFonts w:ascii="Times New Roman" w:hAnsi="Times New Roman"/>
          </w:rPr>
          <w:t xml:space="preserve">The Peninsula</w:t>
        </w:r>
      </w:hyperlink>
      <w:r>
        <w:rPr>
          <w:b w:val="0"/>
        </w:rPr>
        <w:t xml:space="preserve">, </w:t>
      </w:r>
      <w:hyperlink r:id="rId17">
        <w:r>
          <w:rPr>
            <w:color w:val="0000FF"/>
            <w:u w:val="single"/>
            <w:rFonts w:ascii="Times New Roman" w:hAnsi="Times New Roman"/>
          </w:rPr>
          <w:t xml:space="preserve">The Hollywood Reporter</w:t>
        </w:r>
      </w:hyperlink>
      <w:r>
        <w:rPr>
          <w:b w:val="0"/>
        </w:rPr>
        <w:t xml:space="preserve">, </w:t>
      </w:r>
      <w:hyperlink r:id="rId18">
        <w:r>
          <w:rPr>
            <w:color w:val="0000FF"/>
            <w:u w:val="single"/>
            <w:rFonts w:ascii="Times New Roman" w:hAnsi="Times New Roman"/>
          </w:rPr>
          <w:t xml:space="preserve">ARTnews</w:t>
        </w:r>
      </w:hyperlink>
    </w:p>
    <w:p>
      <w:pPr>
        <w:pStyle w:val="NoSpacing"/>
      </w:pPr>
      <w:r>
        <w:rPr>
          <w:b/>
        </w:rPr>
        <w:t xml:space="preserve">Consideration: </w:t>
      </w:r>
      <w:r>
        <w:t>The Ministry can use these international examples as explicit benchmarks — pursuing scholarly partnerships around AlUla and Al-Faw, deepening cultural-diplomacy programming at its own festivals and biennales, and encouraging collaborative rather than siloed programming across the Kingdom's new museums.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iroscene.com/Home/New-Professional-Learning-Platform-Launched-for-Saudi-Designers" TargetMode="External"/><Relationship Id="rId10" Type="http://schemas.openxmlformats.org/officeDocument/2006/relationships/hyperlink" Target="https://www.youm7.com/story/2026/8/26/%D8%A7%D8%B9%D8%AA%D8%B2%D8%A7%D9%84-%D8%A7%D9%84%D9%85%D8%B7%D8%B1%D8%A8%D8%A9-%D8%A7%D9%84%D8%B3%D8%B9%D9%88%D8%AF%D9%8A%D8%A9-%D8%AF%D8%A7%D9%84%D9%8A%D8%A7-%D9%85%D8%A8%D8%A7%D8%B1%D9%83/7525902" TargetMode="External"/><Relationship Id="rId11" Type="http://schemas.openxmlformats.org/officeDocument/2006/relationships/hyperlink" Target="https://www.energylivenews.com/2026/08/26/saudi-arabias-renewable-sector-faces-human-rights-backlash/" TargetMode="External"/><Relationship Id="rId12" Type="http://schemas.openxmlformats.org/officeDocument/2006/relationships/hyperlink" Target="https://www.nytimes.com/2026/08/26/business/saudi-oil-houthis-iran.html" TargetMode="External"/><Relationship Id="rId13" Type="http://schemas.openxmlformats.org/officeDocument/2006/relationships/hyperlink" Target="https://www.france24.com/en/americas/20260826-trump-saudi-civil-nuclear-agreement-congress" TargetMode="External"/><Relationship Id="rId14" Type="http://schemas.openxmlformats.org/officeDocument/2006/relationships/hyperlink" Target="https://www.washingtontimes.com/news/2026/aug/26/chinese-artist-gao-zhen-sentenced-3-years-prison-satirical-mao/" TargetMode="External"/><Relationship Id="rId15" Type="http://schemas.openxmlformats.org/officeDocument/2006/relationships/hyperlink" Target="https://hyperallergic.com/artists-device-slows-down-citi-bikes-in-less-affordable-neighborhoods/" TargetMode="External"/><Relationship Id="rId16" Type="http://schemas.openxmlformats.org/officeDocument/2006/relationships/hyperlink" Target="http://thepeninsulaqatar.com/article/26/08/2026/11000-year-old-statue-of-human-riding-leopard-unearthed-in-se-t%C3%BCrkiye" TargetMode="External"/><Relationship Id="rId17" Type="http://schemas.openxmlformats.org/officeDocument/2006/relationships/hyperlink" Target="https://www.hollywoodreporter.com/movies/movie-news/lee-daniels-nadine-labaki-marina-abramovic-liberatum-awards-1236670800/" TargetMode="External"/><Relationship Id="rId18" Type="http://schemas.openxmlformats.org/officeDocument/2006/relationships/hyperlink" Target="https://www.artnews.com/art-news/market/lindsay-jarvis-max-werner-partnership-industry-moves-august-26-2026-1234795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