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20 August 2026</w:t>
      </w:r>
    </w:p>
    <w:p>
      <w:pPr>
        <w:pStyle w:val="NoSpacing"/>
      </w:pPr>
    </w:p>
    <w:p>
      <w:pPr>
        <w:pStyle w:val="NoSpacing"/>
      </w:pPr>
      <w:r>
        <w:rPr>
          <w:b/>
          <w:color w:val="4A86E8"/>
        </w:rPr>
        <w:t>Saudi Arabia/Regional</w:t>
      </w:r>
    </w:p>
    <w:p>
      <w:pPr>
        <w:pStyle w:val="ListBullet"/>
      </w:pPr>
      <w:r>
        <w:t>How Bronze Age Arabian traders invented 'brand value'</w:t>
      </w:r>
    </w:p>
    <w:p>
      <w:pPr>
        <w:pStyle w:val="ListBullet"/>
      </w:pPr>
      <w:r>
        <w:t>Riyadh's Black Gold Museum Reframes Oil's Legacy</w:t>
      </w:r>
    </w:p>
    <w:p>
      <w:pPr>
        <w:pStyle w:val="NoSpacing"/>
      </w:pPr>
    </w:p>
    <w:p>
      <w:pPr>
        <w:pStyle w:val="NoSpacing"/>
      </w:pPr>
      <w:r>
        <w:rPr>
          <w:b/>
          <w:color w:val="EE0000"/>
        </w:rPr>
        <w:t>Negative Articles</w:t>
      </w:r>
    </w:p>
    <w:p>
      <w:pPr>
        <w:pStyle w:val="ListBullet"/>
      </w:pPr>
      <w:r>
        <w:t>Saudi renewables push strained by war and tighter funding</w:t>
      </w:r>
    </w:p>
    <w:p>
      <w:pPr>
        <w:pStyle w:val="ListBullet"/>
      </w:pPr>
      <w:r>
        <w:t>Saudi Arabia opens new Red Sea resort despite tourism downturn</w:t>
      </w:r>
    </w:p>
    <w:p>
      <w:pPr>
        <w:pStyle w:val="NoSpacing"/>
      </w:pPr>
    </w:p>
    <w:p>
      <w:pPr>
        <w:pStyle w:val="NoSpacing"/>
      </w:pPr>
      <w:r>
        <w:rPr>
          <w:b/>
          <w:color w:val="4A86E8"/>
        </w:rPr>
        <w:t>Global</w:t>
      </w:r>
    </w:p>
    <w:p>
      <w:pPr>
        <w:pStyle w:val="ListBullet"/>
      </w:pPr>
      <w:r>
        <w:t>US National Gallery of Art acquires paintings, sculptures and photographs spanning five centuries</w:t>
      </w:r>
    </w:p>
    <w:p>
      <w:pPr>
        <w:pStyle w:val="ListBullet"/>
      </w:pPr>
      <w:r>
        <w:t>Natural History Museum to reopen hidden gallery closed since the 1940s</w:t>
      </w:r>
    </w:p>
    <w:p>
      <w:pPr>
        <w:pStyle w:val="ListBullet"/>
      </w:pPr>
      <w:r>
        <w:t>Speed Art Museum Returns 24 Native Artifacts to Oklahoma Tribes</w:t>
      </w:r>
    </w:p>
    <w:p>
      <w:pPr>
        <w:pStyle w:val="ListBullet"/>
      </w:pPr>
      <w:r>
        <w:t>Rare Silver Earrings from Khakassia May Preserve an Image of Umay, the Ancient Turkic Goddess</w:t>
      </w:r>
    </w:p>
    <w:p>
      <w:pPr>
        <w:pStyle w:val="ListBullet"/>
      </w:pPr>
      <w:r>
        <w:t>New Discoveries Link Sinai Site with Lost Egyptian City</w:t>
      </w:r>
    </w:p>
    <w:p>
      <w:pPr>
        <w:pStyle w:val="ListBullet"/>
      </w:pPr>
      <w:r>
        <w:t>Bruce Springsteen Center for American Music / COOKFOX</w:t>
      </w:r>
    </w:p>
    <w:p>
      <w:pPr>
        <w:pStyle w:val="ListBullet"/>
      </w:pPr>
      <w:r>
        <w:t>The Stage Debut Awards 2026: Ralph Fiennes and Sadie Sink among nominees</w:t>
      </w:r>
    </w:p>
    <w:p>
      <w:pPr>
        <w:pStyle w:val="ListBullet"/>
      </w:pPr>
      <w:r>
        <w:t>Ballantine Lands New Novel by Nita Prose</w:t>
      </w:r>
    </w:p>
    <w:p>
      <w:pPr>
        <w:pStyle w:val="ListBullet"/>
      </w:pPr>
      <w:r>
        <w:t>Wild Horse Nine: Sam Rockwell Movie to Open Mill Valley Film Festival</w:t>
      </w:r>
    </w:p>
    <w:p>
      <w:pPr>
        <w:pStyle w:val="ListBullet"/>
      </w:pPr>
      <w:r>
        <w:t>UMG strikes global deal for The Beatles' merch, licensing, and e-commerce</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A peer-reviewed study in PLOS One, led by the University of Vienna with MIT and Harvard researchers and conducted with the support of the Ministry of Culture's Heritage Commission, has reframed the roughly 3,200-year-old painted "Midianite" pottery from the Qurayyah oasis in the country's north-west as one of the earliest known examples of a commercial "brand" — centrally produced, stylistically consistent and exported hundreds of kilometres across the region. The finding gives the Kingdom a credible, internationally reported heritage-science proof point that ties its archaeological record directly to a Ministry commission, useful for positioning Saudi heritage as a subject of serious international scholarship rather than only tourism promotion. (</w:t>
      </w:r>
      <w:hyperlink r:id="rId9">
        <w:r>
          <w:rPr>
            <w:color w:val="0000FF"/>
            <w:u w:val="single"/>
            <w:rFonts w:ascii="Times New Roman" w:hAnsi="Times New Roman"/>
          </w:rPr>
          <w:t xml:space="preserve">The National</w:t>
        </w:r>
      </w:hyperlink>
      <w:r>
        <w:rPr>
          <w:b w:val="0"/>
        </w:rPr>
        <w:t>)</w:t>
      </w:r>
    </w:p>
    <w:p>
      <w:pPr>
        <w:pStyle w:val="NoSpacing"/>
      </w:pPr>
      <w:r>
        <w:rPr>
          <w:b/>
          <w:color w:val="000000"/>
        </w:rPr>
        <w:t>Architecture and Design:</w:t>
      </w:r>
    </w:p>
    <w:p>
      <w:pPr>
        <w:pStyle w:val="ListBullet"/>
      </w:pPr>
      <w:r>
        <w:rPr>
          <w:b w:val="0"/>
        </w:rPr>
        <w:t>The US design title Interior Design has profiled Riyadh's newly opened Black Gold Museum, an adaptive reuse of Zaha Hadid's KAPSARC building by DaeWha Kang Design that houses more than 350 works across four thematic sections exploring humanity's relationship with oil, with interiors calibrated to echo the layers of Saudi Arabia's wadis and canyons. Coverage in a specialist international design outlet — on the building's architectural and curatorial merits rather than as a promotional item — signals that Saudi cultural venues are increasingly being assessed as serious contributions to global museum and design practice. (</w:t>
      </w:r>
      <w:hyperlink r:id="rId10">
        <w:r>
          <w:rPr>
            <w:color w:val="0000FF"/>
            <w:u w:val="single"/>
            <w:rFonts w:ascii="Times New Roman" w:hAnsi="Times New Roman"/>
          </w:rPr>
          <w:t xml:space="preserve">Interior Design</w:t>
        </w:r>
      </w:hyperlink>
      <w:r>
        <w:rPr>
          <w:b w:val="0"/>
        </w:rPr>
        <w:t>)</w:t>
      </w:r>
    </w:p>
    <w:p>
      <w:pPr>
        <w:pStyle w:val="NoSpacing"/>
      </w:pPr>
    </w:p>
    <w:p>
      <w:pPr>
        <w:pStyle w:val="NoSpacing"/>
      </w:pPr>
      <w:r>
        <w:rPr>
          <w:b/>
          <w:color w:val="EE0000"/>
        </w:rPr>
        <w:t>Negative Articles</w:t>
      </w:r>
    </w:p>
    <w:p>
      <w:pPr>
        <w:pStyle w:val="ListBullet"/>
      </w:pPr>
      <w:r>
        <w:rPr>
          <w:b w:val="0"/>
        </w:rPr>
        <w:t>Analysis from AGBI reports that the Kingdom's renewable-energy programme is being strained by the regional conflict and tighter credit, with equipment deliveries disrupted through the Strait of Hormuz and Red Sea shipping routes and a nationwide slowdown in loan growth squeezing project finance, roughly half of which is sourced from abroad. The piece notes that while capacity has doubled annually since 2020, analysts now expect the 2030 build-out to reach around 100GW rather than the stated goal, a framing that puts Vision 2030 delivery risk back into international coverage. (</w:t>
      </w:r>
      <w:hyperlink r:id="rId11">
        <w:r>
          <w:rPr>
            <w:color w:val="0000FF"/>
            <w:u w:val="single"/>
            <w:rFonts w:ascii="Times New Roman" w:hAnsi="Times New Roman"/>
          </w:rPr>
          <w:t xml:space="preserve">AGBI</w:t>
        </w:r>
      </w:hyperlink>
      <w:r>
        <w:rPr>
          <w:b w:val="0"/>
        </w:rPr>
        <w:t>)</w:t>
      </w:r>
    </w:p>
    <w:p>
      <w:pPr>
        <w:pStyle w:val="ListBullet"/>
      </w:pPr>
      <w:r>
        <w:rPr>
          <w:b w:val="0"/>
        </w:rPr>
        <w:t>AGBI also reports that Red Sea Global has opened the Rosewood Amaala, its third Amaala resort to launch this year, even as World Travel and Tourism Council data shows the region's travel and tourism sector forecast to contract by 14.5 per cent and shed an estimated 137,000 jobs amid the US-Iran conflict. The juxtaposition of continued giga-project resort openings against a sharp regional tourism downturn keeps a spotlight on the pace and timing of Vision 2030 tourism investment. (</w:t>
      </w:r>
      <w:hyperlink r:id="rId12">
        <w:r>
          <w:rPr>
            <w:color w:val="0000FF"/>
            <w:u w:val="single"/>
            <w:rFonts w:ascii="Times New Roman" w:hAnsi="Times New Roman"/>
          </w:rPr>
          <w:t xml:space="preserve">AGBI</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National Gallery of Art in Washington has announced around 190 acquisitions made since March, spanning five centuries and including the French Impressionist Marie Bracquemond, the Cuban modernist Wifredo Lam and contemporary artists such as Christina Quarles and LaToya Hobbs, with a notable expansion of Latin American holdings. The scale and breadth signal how major national institutions are using acquisition strategy to broaden and diversify the canon they present, a benchmark relevant to Saudi museums building permanent collections. (</w:t>
      </w:r>
      <w:hyperlink r:id="rId13">
        <w:r>
          <w:rPr>
            <w:color w:val="0000FF"/>
            <w:u w:val="single"/>
            <w:rFonts w:ascii="Times New Roman" w:hAnsi="Times New Roman"/>
          </w:rPr>
          <w:t xml:space="preserve">The Art Newspaper</w:t>
        </w:r>
      </w:hyperlink>
      <w:r>
        <w:rPr>
          <w:b w:val="0"/>
        </w:rPr>
        <w:t>)</w:t>
      </w:r>
    </w:p>
    <w:p>
      <w:pPr>
        <w:pStyle w:val="ListBullet"/>
      </w:pPr>
      <w:r>
        <w:rPr>
          <w:b w:val="0"/>
        </w:rPr>
        <w:t>London's Natural History Museum will reopen a second-floor gallery in the Waterhouse building that has been sealed since 1943, debuting a "Nature and Us" exhibition of 50 objects in September as part of the run-up to its 150th anniversary. The project is a useful example of an established institution turning a long-closed historic space into fresh visitor programming, a model Saudi heritage venues can study as they develop their own interpretive offer. (</w:t>
      </w:r>
      <w:hyperlink r:id="rId14">
        <w:r>
          <w:rPr>
            <w:color w:val="0000FF"/>
            <w:u w:val="single"/>
            <w:rFonts w:ascii="Times New Roman" w:hAnsi="Times New Roman"/>
          </w:rPr>
          <w:t xml:space="preserve">Blooloop</w:t>
        </w:r>
      </w:hyperlink>
      <w:r>
        <w:rPr>
          <w:b w:val="0"/>
        </w:rPr>
        <w:t>)</w:t>
      </w:r>
    </w:p>
    <w:p>
      <w:pPr>
        <w:pStyle w:val="ListBullet"/>
      </w:pPr>
      <w:r>
        <w:rPr>
          <w:b w:val="0"/>
        </w:rPr>
        <w:t>The Speed Art Museum in Louisville has returned 24 cultural items — including a Cheyenne cradle board and a sundance rattle — to the Southern Cheyenne and Arapaho Tribes in Oklahoma under the Native American Graves Protection and Repatriation Act. The case reflects a continuing international shift towards proactive restitution and community consultation in collections management, an area of growing relevance for any museum sector engaging with contested or sacred objects. (</w:t>
      </w:r>
      <w:hyperlink r:id="rId15">
        <w:r>
          <w:rPr>
            <w:color w:val="0000FF"/>
            <w:u w:val="single"/>
            <w:rFonts w:ascii="Times New Roman" w:hAnsi="Times New Roman"/>
          </w:rPr>
          <w:t xml:space="preserve">Hyperallergic</w:t>
        </w:r>
      </w:hyperlink>
      <w:r>
        <w:rPr>
          <w:b w:val="0"/>
        </w:rPr>
        <w:t>)</w:t>
      </w:r>
    </w:p>
    <w:p>
      <w:pPr>
        <w:pStyle w:val="NoSpacing"/>
      </w:pPr>
      <w:r>
        <w:rPr>
          <w:b/>
          <w:color w:val="000000"/>
        </w:rPr>
        <w:t>Heritage:</w:t>
      </w:r>
    </w:p>
    <w:p>
      <w:pPr>
        <w:pStyle w:val="ListBullet"/>
      </w:pPr>
      <w:r>
        <w:rPr>
          <w:b w:val="0"/>
        </w:rPr>
        <w:t>Archaeologists have reported that a pair of elaborately worked silver ornaments excavated at the Koibaly cemetery in Khakassia, southern Siberia, may depict Umay, a female deity of ancient Turkic belief associated with fertility and protection, with technical analysis suggesting three craftspeople reworked the pieces across generations as family heirlooms. The find is a reminder of how close material analysis can recover intangible belief and identity from a single object, a research approach directly transferable to the study of the Kingdom's own archaeological record. (</w:t>
      </w:r>
      <w:hyperlink r:id="rId16">
        <w:r>
          <w:rPr>
            <w:color w:val="0000FF"/>
            <w:u w:val="single"/>
            <w:rFonts w:ascii="Times New Roman" w:hAnsi="Times New Roman"/>
          </w:rPr>
          <w:t xml:space="preserve">Arkeonews</w:t>
        </w:r>
      </w:hyperlink>
      <w:r>
        <w:rPr>
          <w:b w:val="0"/>
        </w:rPr>
        <w:t>)</w:t>
      </w:r>
    </w:p>
    <w:p>
      <w:pPr>
        <w:pStyle w:val="ListBullet"/>
      </w:pPr>
      <w:r>
        <w:rPr>
          <w:b w:val="0"/>
        </w:rPr>
        <w:t>Excavations at Tell Abu Saifi in northern Sinai have uncovered a mudbrick enclosure, temple remains and a sandstone lintel inscribed with titles of Ramesses II, strengthening the case that the site is the lost New Kingdom city of Mesen on the ancient Way of Horus. The discovery underlines the continuing archaeological richness of the wider region and the value of tying newly excavated sites to documented historical networks, a narrative approach that parallels work at Saudi sites such as AlUla and Dadan. (</w:t>
      </w:r>
      <w:hyperlink r:id="rId17">
        <w:r>
          <w:rPr>
            <w:color w:val="0000FF"/>
            <w:u w:val="single"/>
            <w:rFonts w:ascii="Times New Roman" w:hAnsi="Times New Roman"/>
          </w:rPr>
          <w:t xml:space="preserve">Archaeology Magazine</w:t>
        </w:r>
      </w:hyperlink>
      <w:r>
        <w:rPr>
          <w:b w:val="0"/>
        </w:rPr>
        <w:t>)</w:t>
      </w:r>
    </w:p>
    <w:p>
      <w:pPr>
        <w:pStyle w:val="NoSpacing"/>
      </w:pPr>
      <w:r>
        <w:rPr>
          <w:b/>
          <w:color w:val="000000"/>
        </w:rPr>
        <w:t>Architecture and Design:</w:t>
      </w:r>
    </w:p>
    <w:p>
      <w:pPr>
        <w:pStyle w:val="ListBullet"/>
      </w:pPr>
      <w:r>
        <w:rPr>
          <w:b w:val="0"/>
        </w:rPr>
        <w:t>ArchDaily has published the newly completed Bruce Springsteen Center for American Music by COOKFOX, a 30,000-square-foot, roughly $50 million museum at Monmouth University in New Jersey, clad in weathering steel with mass-timber interiors and framed by its architects as an exercise in cultural placemaking. The project shows how a single cultural figure's legacy can anchor a purpose-built institution and civic identity, a model of interest as Saudi Arabia develops venues around its own cultural and artistic narratives. (</w:t>
      </w:r>
      <w:hyperlink r:id="rId18">
        <w:r>
          <w:rPr>
            <w:color w:val="0000FF"/>
            <w:u w:val="single"/>
            <w:rFonts w:ascii="Times New Roman" w:hAnsi="Times New Roman"/>
          </w:rPr>
          <w:t xml:space="preserve">ArchDaily</w:t>
        </w:r>
      </w:hyperlink>
      <w:r>
        <w:rPr>
          <w:b w:val="0"/>
        </w:rPr>
        <w:t>)</w:t>
      </w:r>
    </w:p>
    <w:p>
      <w:pPr>
        <w:pStyle w:val="NoSpacing"/>
      </w:pPr>
      <w:r>
        <w:rPr>
          <w:b/>
          <w:color w:val="000000"/>
        </w:rPr>
        <w:t>Theatre and Performing Arts:</w:t>
      </w:r>
    </w:p>
    <w:p>
      <w:pPr>
        <w:pStyle w:val="ListBullet"/>
      </w:pPr>
      <w:r>
        <w:rPr>
          <w:b w:val="0"/>
        </w:rPr>
        <w:t>The Stage has revealed the nominees for its 2026 Debut Awards, which recognise emerging performers and creatives across the UK from the West End to regional and fringe stages, with winners to be announced on 27 September. The awards illustrate how a structured recognition programme can build visible pathways for early-career theatre talent, directly relevant to the Theatre and Performing Arts Commission's talent-development remit. (</w:t>
      </w:r>
      <w:hyperlink r:id="rId19">
        <w:r>
          <w:rPr>
            <w:color w:val="0000FF"/>
            <w:u w:val="single"/>
            <w:rFonts w:ascii="Times New Roman" w:hAnsi="Times New Roman"/>
          </w:rPr>
          <w:t xml:space="preserve">The Stage</w:t>
        </w:r>
      </w:hyperlink>
      <w:r>
        <w:rPr>
          <w:b w:val="0"/>
        </w:rPr>
        <w:t>)</w:t>
      </w:r>
    </w:p>
    <w:p>
      <w:pPr>
        <w:pStyle w:val="NoSpacing"/>
      </w:pPr>
      <w:r>
        <w:rPr>
          <w:b/>
          <w:color w:val="000000"/>
        </w:rPr>
        <w:t>Literature, Publishing, and Translation:</w:t>
      </w:r>
    </w:p>
    <w:p>
      <w:pPr>
        <w:pStyle w:val="ListBullet"/>
      </w:pPr>
      <w:r>
        <w:rPr>
          <w:b w:val="0"/>
        </w:rPr>
        <w:t>Publishers Weekly reports that Ballantine Books has acquired North American rights to "Emerald Lake", a new novel by Nita Prose, author of the best-selling "The Maid", with the book due in April 2027 and rights already sold across several international markets. The deal is a useful marker of how a single commercial literary success can be leveraged into a multi-territory publishing programme, context relevant to the Kingdom's ambitions in publishing and translation. (</w:t>
      </w:r>
      <w:hyperlink r:id="rId20">
        <w:r>
          <w:rPr>
            <w:color w:val="0000FF"/>
            <w:u w:val="single"/>
            <w:rFonts w:ascii="Times New Roman" w:hAnsi="Times New Roman"/>
          </w:rPr>
          <w:t xml:space="preserve">Publishers Weekly</w:t>
        </w:r>
      </w:hyperlink>
      <w:r>
        <w:rPr>
          <w:b w:val="0"/>
        </w:rPr>
        <w:t>)</w:t>
      </w:r>
    </w:p>
    <w:p>
      <w:pPr>
        <w:pStyle w:val="NoSpacing"/>
      </w:pPr>
      <w:r>
        <w:rPr>
          <w:b/>
          <w:color w:val="000000"/>
        </w:rPr>
        <w:t>Film:</w:t>
      </w:r>
    </w:p>
    <w:p>
      <w:pPr>
        <w:pStyle w:val="ListBullet"/>
      </w:pPr>
      <w:r>
        <w:rPr>
          <w:b w:val="0"/>
        </w:rPr>
        <w:t>The Hollywood Reporter reports that Martin McDonagh's "Wild Horse Nine", starring Sam Rockwell and John Malkovich, will open the 49th Mill Valley Film Festival on 1 October, with Rockwell also set to receive a career tribute. The choice of a starry auteur title as an opening-night anchor shows how established festivals use marquee premieres to define their identity, a dynamic worth noting for the Kingdom's own growing festival calendar. (</w:t>
      </w:r>
      <w:hyperlink r:id="rId21">
        <w:r>
          <w:rPr>
            <w:color w:val="0000FF"/>
            <w:u w:val="single"/>
            <w:rFonts w:ascii="Times New Roman" w:hAnsi="Times New Roman"/>
          </w:rPr>
          <w:t xml:space="preserve">The Hollywood Reporter</w:t>
        </w:r>
      </w:hyperlink>
      <w:r>
        <w:rPr>
          <w:b w:val="0"/>
        </w:rPr>
        <w:t>)</w:t>
      </w:r>
    </w:p>
    <w:p>
      <w:pPr>
        <w:pStyle w:val="NoSpacing"/>
      </w:pPr>
      <w:r>
        <w:rPr>
          <w:b/>
          <w:color w:val="000000"/>
        </w:rPr>
        <w:t>Music:</w:t>
      </w:r>
    </w:p>
    <w:p>
      <w:pPr>
        <w:pStyle w:val="ListBullet"/>
      </w:pPr>
      <w:r>
        <w:rPr>
          <w:b w:val="0"/>
        </w:rPr>
        <w:t>Music Business Worldwide reports that Universal Music Group has struck an exclusive, long-term global partnership with Apple Corps covering The Beatles' merchandise, licensing and e-commerce, expanding a North American arrangement to worldwide scope ahead of a 2027 fan destination in London and biopics due in 2028. The deal is a clear example of how catalogue heritage is being converted into an integrated, long-horizon commercial and experiential strategy, a template relevant to how cultural intellectual property can be developed sustainably. (</w:t>
      </w:r>
      <w:hyperlink r:id="rId22">
        <w:r>
          <w:rPr>
            <w:color w:val="0000FF"/>
            <w:u w:val="single"/>
            <w:rFonts w:ascii="Times New Roman" w:hAnsi="Times New Roman"/>
          </w:rPr>
          <w:t xml:space="preserve">Music Business Worldwide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Conflict and funding strains keep Vision 2030 delivery risk in international coverage</w:t>
      </w:r>
    </w:p>
    <w:p>
      <w:pPr>
        <w:pStyle w:val="NoSpacing"/>
      </w:pPr>
      <w:r>
        <w:t>Two strands of the same regional-disruption story are running together in this cycle's coverage. AGBI reports that the Kingdom's renewable-energy programme is being held back by war-related supply-chain disruption through the Strait of Hormuz and Red Sea and by a nationwide credit slowdown, with analysts now expecting the 2030 build-out to fall short of its stated capacity goal. In parallel, AGBI notes that giga-project resort openings on the Red Sea coast are continuing even as World Travel and Tourism Council data shows the regional tourism sector forecast to contract 14.5 per cent and shed some 137,000 jobs. Against this backdrop, Al Jazeera's shipping analysis records Gulf exporters, Saudi Arabia among them, moving oil through the Omani route with vessel tracking switched off — a vivid marker of how far the conflict is reshaping regional commerce.</w:t>
      </w:r>
    </w:p>
    <w:p>
      <w:pPr>
        <w:pStyle w:val="NoSpacing"/>
      </w:pPr>
      <w:r>
        <w:rPr>
          <w:b/>
        </w:rPr>
        <w:t xml:space="preserve">Source: </w:t>
      </w:r>
      <w:hyperlink r:id="rId11">
        <w:r>
          <w:rPr>
            <w:color w:val="0000FF"/>
            <w:u w:val="single"/>
            <w:rFonts w:ascii="Times New Roman" w:hAnsi="Times New Roman"/>
          </w:rPr>
          <w:t xml:space="preserve">AGBI</w:t>
        </w:r>
      </w:hyperlink>
      <w:r>
        <w:rPr>
          <w:b w:val="0"/>
        </w:rPr>
        <w:t xml:space="preserve">, </w:t>
      </w:r>
      <w:hyperlink r:id="rId12">
        <w:r>
          <w:rPr>
            <w:color w:val="0000FF"/>
            <w:u w:val="single"/>
            <w:rFonts w:ascii="Times New Roman" w:hAnsi="Times New Roman"/>
          </w:rPr>
          <w:t xml:space="preserve">AGBI</w:t>
        </w:r>
      </w:hyperlink>
      <w:r>
        <w:rPr>
          <w:b w:val="0"/>
        </w:rPr>
        <w:t xml:space="preserve">, </w:t>
      </w:r>
      <w:hyperlink r:id="rId23">
        <w:r>
          <w:rPr>
            <w:color w:val="0000FF"/>
            <w:u w:val="single"/>
            <w:rFonts w:ascii="Times New Roman" w:hAnsi="Times New Roman"/>
          </w:rPr>
          <w:t xml:space="preserve">Al Jazeera</w:t>
        </w:r>
      </w:hyperlink>
    </w:p>
    <w:p>
      <w:pPr>
        <w:pStyle w:val="NoSpacing"/>
      </w:pPr>
      <w:r>
        <w:rPr>
          <w:b/>
        </w:rPr>
        <w:t xml:space="preserve">Consideration: </w:t>
      </w:r>
      <w:r>
        <w:t>The Ministry should keep its cultural narrative visibly distinct from the conflict and macro-economic risk story, anchoring communications in credible cultural delivery, heritage stewardship, public access and Saudi talent rather than in investment pace or economic performance, so that cultural progress is not read through the lens of regional instability.</w:t>
      </w:r>
    </w:p>
    <w:p>
      <w:pPr>
        <w:pStyle w:val="NoSpacing"/>
      </w:pPr>
    </w:p>
    <w:p>
      <w:pPr>
        <w:pStyle w:val="NoSpacing"/>
      </w:pPr>
      <w:r>
        <w:rPr>
          <w:b/>
          <w:color w:val="A66500"/>
        </w:rPr>
        <w:t>Opportunities</w:t>
      </w:r>
    </w:p>
    <w:p>
      <w:pPr>
        <w:pStyle w:val="NoSpacing"/>
      </w:pPr>
      <w:r>
        <w:rPr>
          <w:b/>
          <w:color w:val="000000"/>
        </w:rPr>
        <w:t>1. Saudi heritage and cultural venues are earning international recognition on their own merits</w:t>
      </w:r>
    </w:p>
    <w:p>
      <w:pPr>
        <w:pStyle w:val="NoSpacing"/>
      </w:pPr>
      <w:r>
        <w:t>Two unrelated stories this cycle point to the same underlying strength: Saudi cultural assets being taken seriously by credible international institutions and press on cultural, not promotional, terms. The National reports a peer-reviewed study, carried out with the support of the Ministry's Heritage Commission, that reframes Qurayyah's Bronze Age pottery as one of the earliest known "brands" — genuine heritage science covered in international media. Separately, the design title Interior Design has assessed Riyadh's new Black Gold Museum on its architectural and curatorial merits, as an adaptive reuse of a Zaha Hadid building. Together they show academic and design-world engagement with Saudi culture that arises from the work itself.</w:t>
      </w:r>
    </w:p>
    <w:p>
      <w:pPr>
        <w:pStyle w:val="NoSpacing"/>
      </w:pPr>
      <w:r>
        <w:rPr>
          <w:b/>
        </w:rPr>
        <w:t xml:space="preserve">Source: </w:t>
      </w:r>
      <w:hyperlink r:id="rId9">
        <w:r>
          <w:rPr>
            <w:color w:val="0000FF"/>
            <w:u w:val="single"/>
            <w:rFonts w:ascii="Times New Roman" w:hAnsi="Times New Roman"/>
          </w:rPr>
          <w:t xml:space="preserve">The National</w:t>
        </w:r>
      </w:hyperlink>
      <w:r>
        <w:rPr>
          <w:b w:val="0"/>
        </w:rPr>
        <w:t xml:space="preserve">, </w:t>
      </w:r>
      <w:hyperlink r:id="rId10">
        <w:r>
          <w:rPr>
            <w:color w:val="0000FF"/>
            <w:u w:val="single"/>
            <w:rFonts w:ascii="Times New Roman" w:hAnsi="Times New Roman"/>
          </w:rPr>
          <w:t xml:space="preserve">Interior Design</w:t>
        </w:r>
      </w:hyperlink>
    </w:p>
    <w:p>
      <w:pPr>
        <w:pStyle w:val="NoSpacing"/>
      </w:pPr>
      <w:r>
        <w:rPr>
          <w:b/>
        </w:rPr>
        <w:t xml:space="preserve">Consideration: </w:t>
      </w:r>
      <w:r>
        <w:t>The Ministry can connect these into a single narrative of institutional and scholarly credibility — pairing peer-reviewed heritage research with contemporary cultural-venue design — and use them to reinforce that Saudi culture is being recognised through independent scholarship and specialist criticism, not only through the Kingdom's own promotion.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news/europe/2026/08/19/how-bronze-age-arabian-traders-invented-brand-value/" TargetMode="External"/><Relationship Id="rId10" Type="http://schemas.openxmlformats.org/officeDocument/2006/relationships/hyperlink" Target="https://interiordesign.net/projects/black-gold-museum-in-riyadh/" TargetMode="External"/><Relationship Id="rId11" Type="http://schemas.openxmlformats.org/officeDocument/2006/relationships/hyperlink" Target="https://www.agbi.com/analysis/renewable-energy/2026/08/saudi-renewables-push-strained-by-war-and-tighter-funding/" TargetMode="External"/><Relationship Id="rId12" Type="http://schemas.openxmlformats.org/officeDocument/2006/relationships/hyperlink" Target="https://www.agbi.com/tourism/2026/08/saudi-arabia-opens-new-red-sea-resort-despite-tourism-downturn/" TargetMode="External"/><Relationship Id="rId13" Type="http://schemas.openxmlformats.org/officeDocument/2006/relationships/hyperlink" Target="https://www.theartnewspaper.com/2026/08/19/national-gallery-art-us-acquisitions-wifredo-lam-marie-bracquemond" TargetMode="External"/><Relationship Id="rId14" Type="http://schemas.openxmlformats.org/officeDocument/2006/relationships/hyperlink" Target="https://blooloop.com/news/natural-history-museum-hidden-gallery" TargetMode="External"/><Relationship Id="rId15" Type="http://schemas.openxmlformats.org/officeDocument/2006/relationships/hyperlink" Target="https://hyperallergic.com/speed-art-museum-returns-24-native-artifacts-to-oklahoma-tribes/" TargetMode="External"/><Relationship Id="rId16" Type="http://schemas.openxmlformats.org/officeDocument/2006/relationships/hyperlink" Target="https://arkeonews.net/rare-silver-earrings-from-khakassia-may-preserve-an-image-of-umay-the-ancient-turkic-goddess/" TargetMode="External"/><Relationship Id="rId17" Type="http://schemas.openxmlformats.org/officeDocument/2006/relationships/hyperlink" Target="https://archaeology.org/news/2026/08/19/new-discoveries-link-sinai-site-with-lost-egyptian-city/" TargetMode="External"/><Relationship Id="rId18" Type="http://schemas.openxmlformats.org/officeDocument/2006/relationships/hyperlink" Target="https://www.archdaily.com/1183556/bruce-springsteen-center-for-american-music-cookfox" TargetMode="External"/><Relationship Id="rId19" Type="http://schemas.openxmlformats.org/officeDocument/2006/relationships/hyperlink" Target="https://www.thestage.co.uk/news/the-stage-debut-awards-2026-ralph-fiennes-and-sadie-sink-among-nominees" TargetMode="External"/><Relationship Id="rId20" Type="http://schemas.openxmlformats.org/officeDocument/2006/relationships/hyperlink" Target="https://www.publishersweekly.com/pw/newsbrief/index.html?record=5992" TargetMode="External"/><Relationship Id="rId21" Type="http://schemas.openxmlformats.org/officeDocument/2006/relationships/hyperlink" Target="https://www.hollywoodreporter.com/movies/movie-news/wild-horse-nine-sam-rockwell-mill-valley-film-festival-1236676808/" TargetMode="External"/><Relationship Id="rId22" Type="http://schemas.openxmlformats.org/officeDocument/2006/relationships/hyperlink" Target="https://www.musicbusinessworldwide.com/umg-strikes-global-deal-for-the-beatles-merch-licensing-and-e-commerce/" TargetMode="External"/><Relationship Id="rId23" Type="http://schemas.openxmlformats.org/officeDocument/2006/relationships/hyperlink" Target="https://www.aljazeera.com/news/2026/8/20/are-hormuz-ships-more-willing-to-defy-iran-or-the-us-what-data-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