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4 August 2026</w:t>
      </w:r>
    </w:p>
    <w:p>
      <w:pPr>
        <w:pStyle w:val="NoSpacing"/>
      </w:pPr>
    </w:p>
    <w:p>
      <w:pPr>
        <w:pStyle w:val="NoSpacing"/>
      </w:pPr>
      <w:r>
        <w:rPr>
          <w:b/>
          <w:color w:val="4A86E8"/>
        </w:rPr>
        <w:t>Saudi Arabia/Regional</w:t>
      </w:r>
    </w:p>
    <w:p>
      <w:pPr>
        <w:pStyle w:val="ListBullet"/>
      </w:pPr>
      <w:r>
        <w:t>Saudi crude moves through Red Sea despite Houthi threat</w:t>
      </w:r>
    </w:p>
    <w:p>
      <w:pPr>
        <w:pStyle w:val="ListBullet"/>
      </w:pPr>
      <w:r>
        <w:t>Saudi economy swings to 4.8% contraction</w:t>
      </w:r>
    </w:p>
    <w:p>
      <w:pPr>
        <w:pStyle w:val="ListBullet"/>
      </w:pPr>
      <w:r>
        <w:t>A Saudi-Emirati Thaw Can Help Contain Iran</w:t>
      </w:r>
    </w:p>
    <w:p>
      <w:pPr>
        <w:pStyle w:val="ListBullet"/>
      </w:pPr>
      <w:r>
        <w:t>Syria's chargé d'affaires discusses cultural cooperation with Saudi library's CEO</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ListBullet"/>
      </w:pPr>
      <w:r>
        <w:t>Unesco urged to investigate after Israeli forces trigger explosions near Lebanon's World Heritage-listed Beaufort Castle</w:t>
      </w:r>
    </w:p>
    <w:p>
      <w:pPr>
        <w:pStyle w:val="ListBullet"/>
      </w:pPr>
      <w:r>
        <w:t>2,500-Year-Old Monumental Statue of a Long-Haired Young Man Discovered Remarkably Preserved in Ancient Sardis</w:t>
      </w:r>
    </w:p>
    <w:p>
      <w:pPr>
        <w:pStyle w:val="ListBullet"/>
      </w:pPr>
      <w:r>
        <w:t>Funerary Complex Excavated Near Egypt's Mediterranean Coast</w:t>
      </w:r>
    </w:p>
    <w:p>
      <w:pPr>
        <w:pStyle w:val="ListBullet"/>
      </w:pPr>
      <w:r>
        <w:t>3,000-Year-Old Bronze Hoard Unearthed in Czech Wetland</w:t>
      </w:r>
    </w:p>
    <w:p>
      <w:pPr>
        <w:pStyle w:val="ListBullet"/>
      </w:pPr>
      <w:r>
        <w:t>Royal Museums Greenwich workers vote to strike over pay and working conditions</w:t>
      </w:r>
    </w:p>
    <w:p>
      <w:pPr>
        <w:pStyle w:val="ListBullet"/>
      </w:pPr>
      <w:r>
        <w:t>Gagosian Gives Up London and Basel Spaces as Mega-Galleries Rethink Their Footprints</w:t>
      </w:r>
    </w:p>
    <w:p>
      <w:pPr>
        <w:pStyle w:val="ListBullet"/>
      </w:pPr>
      <w:r>
        <w:t>Universal Becomes First Studio To Conquer $4B+ At Global B.O. YTD As 'Odyssey' Heads For $1B WW</w:t>
      </w:r>
    </w:p>
    <w:p>
      <w:pPr>
        <w:pStyle w:val="ListBullet"/>
      </w:pPr>
      <w:r>
        <w:t>WME Sells New York Fashion Week and NYFW: The Shows Trademarks and Intellectual Property to Signet Fashion</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Crude loadings at the Red Sea port of Yanbu rebounded over the weekend despite the Houthis' 20 July declaration of a maritime embargo on Saudi shipping, with satellite imagery showing five of seven berths in simultaneous use, even as tankers increasingly move oil by less visible means — switching off transponders, routing around the Cape of Good Hope, or using Egypt's SuMed pipeline. The resilience of Saudi exports under pressure steadies the near-term economic backdrop on which the Kingdom's investment, tourism and cultural programme depend, though the shift to opaque routing is a reminder of the conflict's continuing cost. (</w:t>
      </w:r>
      <w:hyperlink r:id="rId9">
        <w:r>
          <w:rPr>
            <w:color w:val="0000FF"/>
            <w:u w:val="single"/>
            <w:rFonts w:ascii="Times New Roman" w:hAnsi="Times New Roman"/>
          </w:rPr>
          <w:t xml:space="preserve">AGBI</w:t>
        </w:r>
      </w:hyperlink>
      <w:r>
        <w:rPr>
          <w:b w:val="0"/>
        </w:rPr>
        <w:t>)</w:t>
      </w:r>
    </w:p>
    <w:p>
      <w:pPr>
        <w:pStyle w:val="ListBullet"/>
      </w:pPr>
      <w:r>
        <w:rPr>
          <w:b w:val="0"/>
        </w:rPr>
        <w:t>Saudi Arabia's economy contracted by 4.8% year on year in the second quarter, reversing first-quarter growth of 3% as oil activities fell 24.7% amid the regional conflict and reduced output, according to MEED; the non-oil sector, by contrast, kept expanding, growing 0.6%. The figures put a hard number on the war's economic toll while underlining that the diversification agenda — of which the cultural and creative sectors are a growing part — is still advancing even as hydrocarbons weigh on headline growth. (</w:t>
      </w:r>
      <w:hyperlink r:id="rId10">
        <w:r>
          <w:rPr>
            <w:color w:val="0000FF"/>
            <w:u w:val="single"/>
            <w:rFonts w:ascii="Times New Roman" w:hAnsi="Times New Roman"/>
          </w:rPr>
          <w:t xml:space="preserve">MEED</w:t>
        </w:r>
      </w:hyperlink>
      <w:r>
        <w:rPr>
          <w:b w:val="0"/>
        </w:rPr>
        <w:t>)</w:t>
      </w:r>
    </w:p>
    <w:p>
      <w:pPr>
        <w:pStyle w:val="ListBullet"/>
      </w:pPr>
      <w:r>
        <w:rPr>
          <w:b w:val="0"/>
        </w:rPr>
        <w:t>In an analysis for Foreign Policy, scholars from the Atlantic Council and the Washington Institute argue that a recent thaw in Saudi-Emirati relations — signalled by coordinated unity messaging from senior officials in late July — could let the Gulf states mount a more effective joint response to Iranian and Houthi threats to freedom of navigation. Read alongside the Kingdom's own de-escalation diplomacy reported in recent days, the piece frames Saudi Arabia as a central convening power in the Gulf, an image of constructive regional stewardship that complements the Ministry's international cultural-diplomacy agenda. (</w:t>
      </w:r>
      <w:hyperlink r:id="rId11">
        <w:r>
          <w:rPr>
            <w:color w:val="0000FF"/>
            <w:u w:val="single"/>
            <w:rFonts w:ascii="Times New Roman" w:hAnsi="Times New Roman"/>
          </w:rPr>
          <w:t xml:space="preserve">Foreign Policy</w:t>
        </w:r>
      </w:hyperlink>
      <w:r>
        <w:rPr>
          <w:b w:val="0"/>
        </w:rPr>
        <w:t>)</w:t>
      </w:r>
    </w:p>
    <w:p>
      <w:pPr>
        <w:pStyle w:val="NoSpacing"/>
      </w:pPr>
      <w:r>
        <w:rPr>
          <w:b/>
          <w:color w:val="000000"/>
        </w:rPr>
        <w:t>Libraries:</w:t>
      </w:r>
    </w:p>
    <w:p>
      <w:pPr>
        <w:pStyle w:val="ListBullet"/>
      </w:pPr>
      <w:r>
        <w:rPr>
          <w:b w:val="0"/>
        </w:rPr>
        <w:t>Syria's chargé d'affaires in Riyadh, Mohsen Mahbash, met the acting chief executive of the King Fahad National Library, Faisal al-Hamoudi, to discuss expanding cultural cooperation, touring the library's collections and educational programmes, Syrian state agency SANA reported. Modest in itself, the visit is a small marker of the Kingdom's widening cultural diplomacy in the region, using a flagship national cultural institution as a point of bilateral engagement. (</w:t>
      </w:r>
      <w:hyperlink r:id="rId12">
        <w:r>
          <w:rPr>
            <w:color w:val="0000FF"/>
            <w:u w:val="single"/>
            <w:rFonts w:ascii="Times New Roman" w:hAnsi="Times New Roman"/>
          </w:rPr>
          <w:t xml:space="preserve">SANA</w:t>
        </w:r>
      </w:hyperlink>
      <w:r>
        <w:rPr>
          <w:b w:val="0"/>
        </w:rPr>
        <w: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Heritage bodies have urged UNESCO to open an investigation after reported explosions caused by Israeli forces near the Crusader-era Beaufort Castle in south Lebanon, The Art Newspaper reported. The episode highlights how exposed built heritage is in conflict zones and how the international heritage-protection system is called upon to respond — context relevant to any state, Saudi Arabia included, investing heavily in documentation, conservation science and the diplomatic frameworks that safeguard cultural property. (</w:t>
      </w:r>
      <w:hyperlink r:id="rId13">
        <w:r>
          <w:rPr>
            <w:color w:val="0000FF"/>
            <w:u w:val="single"/>
            <w:rFonts w:ascii="Times New Roman" w:hAnsi="Times New Roman"/>
          </w:rPr>
          <w:t xml:space="preserve">The Art Newspaper</w:t>
        </w:r>
      </w:hyperlink>
      <w:r>
        <w:rPr>
          <w:b w:val="0"/>
        </w:rPr>
        <w:t>)</w:t>
      </w:r>
    </w:p>
    <w:p>
      <w:pPr>
        <w:pStyle w:val="ListBullet"/>
      </w:pPr>
      <w:r>
        <w:rPr>
          <w:b w:val="0"/>
        </w:rPr>
        <w:t>Archaeologists at Sardis in western Türkiye, the former Lydian capital, have uncovered a remarkably preserved 2.2-metre marble statue of a long-haired young man dating to the early fifth century BC, its features protected for millennia after it was reused face-down as Roman paving, Arkeonews reported. Discoveries of this kind sustain the global public appetite for archaeology and classical heritage — the same appetite the Kingdom is cultivating around Hegra, Dadan and AlUla as it builds its heritage-tourism offer. (</w:t>
      </w:r>
      <w:hyperlink r:id="rId14">
        <w:r>
          <w:rPr>
            <w:color w:val="0000FF"/>
            <w:u w:val="single"/>
            <w:rFonts w:ascii="Times New Roman" w:hAnsi="Times New Roman"/>
          </w:rPr>
          <w:t xml:space="preserve">Arkeonews</w:t>
        </w:r>
      </w:hyperlink>
      <w:r>
        <w:rPr>
          <w:b w:val="0"/>
        </w:rPr>
        <w:t>)</w:t>
      </w:r>
    </w:p>
    <w:p>
      <w:pPr>
        <w:pStyle w:val="ListBullet"/>
      </w:pPr>
      <w:r>
        <w:rPr>
          <w:b w:val="0"/>
        </w:rPr>
        <w:t>Excavations at Tell El-Deir in Egypt's eastern Nile Delta have revealed a funerary complex spanning roughly the seventh century BC to the seventh century AD, yielding twenty limestone monuments that blend Egyptian and Greco-Roman styles alongside coffins, amulets and decorated lamps, Archaeology magazine reported. The find is a reminder of the layered depth of heritage across the wider region, useful context as Saudi Arabia positions its own multi-period sites within the international archaeological conversation. (</w:t>
      </w:r>
      <w:hyperlink r:id="rId15">
        <w:r>
          <w:rPr>
            <w:color w:val="0000FF"/>
            <w:u w:val="single"/>
            <w:rFonts w:ascii="Times New Roman" w:hAnsi="Times New Roman"/>
          </w:rPr>
          <w:t xml:space="preserve">Archaeology</w:t>
        </w:r>
      </w:hyperlink>
      <w:r>
        <w:rPr>
          <w:b w:val="0"/>
        </w:rPr>
        <w:t>)</w:t>
      </w:r>
    </w:p>
    <w:p>
      <w:pPr>
        <w:pStyle w:val="ListBullet"/>
      </w:pPr>
      <w:r>
        <w:rPr>
          <w:b w:val="0"/>
        </w:rPr>
        <w:t>A 3,000-year-old Bronze Age hoard of deliberately damaged tools and weapons — interpreted as ritual offerings rather than stored goods — has been recovered from a wetland near Kojetín in the Czech Republic during railway monitoring works, Arkeonews reported. Rescue archaeology tied to major infrastructure projects is a model directly relevant to Saudi Arabia, where large-scale development runs alongside a fast-expanding heritage-protection remit. (</w:t>
      </w:r>
      <w:hyperlink r:id="rId16">
        <w:r>
          <w:rPr>
            <w:color w:val="0000FF"/>
            <w:u w:val="single"/>
            <w:rFonts w:ascii="Times New Roman" w:hAnsi="Times New Roman"/>
          </w:rPr>
          <w:t xml:space="preserve">Arkeonews</w:t>
        </w:r>
      </w:hyperlink>
      <w:r>
        <w:rPr>
          <w:b w:val="0"/>
        </w:rPr>
        <w:t>)</w:t>
      </w:r>
    </w:p>
    <w:p>
      <w:pPr>
        <w:pStyle w:val="NoSpacing"/>
      </w:pPr>
      <w:r>
        <w:rPr>
          <w:b/>
          <w:color w:val="000000"/>
        </w:rPr>
        <w:t>Museums:</w:t>
      </w:r>
    </w:p>
    <w:p>
      <w:pPr>
        <w:pStyle w:val="ListBullet"/>
      </w:pPr>
      <w:r>
        <w:rPr>
          <w:b w:val="0"/>
        </w:rPr>
        <w:t>Prospect union members at Royal Museums Greenwich have voted to strike on 11–12 August over pay and working conditions, part of wider labour unrest across the UK's heritage and museum sector, The Art Newspaper reported. Workforce sustainability and fair conditions are a live issue for museums worldwide, pertinent as Saudi Arabia rapidly staffs and professionalises a new generation of national museums and cultural institutions. (</w:t>
      </w:r>
      <w:hyperlink r:id="rId17">
        <w:r>
          <w:rPr>
            <w:color w:val="0000FF"/>
            <w:u w:val="single"/>
            <w:rFonts w:ascii="Times New Roman" w:hAnsi="Times New Roman"/>
          </w:rPr>
          <w:t xml:space="preserve">The Art Newspaper</w:t>
        </w:r>
      </w:hyperlink>
      <w:r>
        <w:rPr>
          <w:b w:val="0"/>
        </w:rPr>
        <w:t>)</w:t>
      </w:r>
    </w:p>
    <w:p>
      <w:pPr>
        <w:pStyle w:val="NoSpacing"/>
      </w:pPr>
      <w:r>
        <w:rPr>
          <w:b/>
          <w:color w:val="000000"/>
        </w:rPr>
        <w:t>Visual Arts:</w:t>
      </w:r>
    </w:p>
    <w:p>
      <w:pPr>
        <w:pStyle w:val="ListBullet"/>
      </w:pPr>
      <w:r>
        <w:rPr>
          <w:b w:val="0"/>
        </w:rPr>
        <w:t>Gagosian has permanently closed its small London space in Burlington Arcade and will vacate its Basel location, part of a summer of retrenchment among the art market's mega-galleries and a broader rethink of the aggressive global-expansion model of the past decade, ARTnews reported. How blue-chip galleries recalibrate their investment in physical space is instructive for Saudi Arabia as it develops its own gallery districts and art-market infrastructure around JAX and Diriyah. (</w:t>
      </w:r>
      <w:hyperlink r:id="rId18">
        <w:r>
          <w:rPr>
            <w:color w:val="0000FF"/>
            <w:u w:val="single"/>
            <w:rFonts w:ascii="Times New Roman" w:hAnsi="Times New Roman"/>
          </w:rPr>
          <w:t xml:space="preserve">ARTnews</w:t>
        </w:r>
      </w:hyperlink>
      <w:r>
        <w:rPr>
          <w:b w:val="0"/>
        </w:rPr>
        <w:t>)</w:t>
      </w:r>
    </w:p>
    <w:p>
      <w:pPr>
        <w:pStyle w:val="NoSpacing"/>
      </w:pPr>
      <w:r>
        <w:rPr>
          <w:b/>
          <w:color w:val="000000"/>
        </w:rPr>
        <w:t>Film:</w:t>
      </w:r>
    </w:p>
    <w:p>
      <w:pPr>
        <w:pStyle w:val="ListBullet"/>
      </w:pPr>
      <w:r>
        <w:rPr>
          <w:b w:val="0"/>
        </w:rPr>
        <w:t>Universal has become the first Hollywood studio to pass $4bn at the global box office in 2026, powered by a broad slate including Christopher Nolan's The Odyssey, now approaching $1bn worldwide, Deadline reported. The result reaffirms the enduring commercial pull of theatrical cinema, a useful benchmark for Saudi Arabia's fast-growing exhibition market and its Film Commission-backed production ambitions. (</w:t>
      </w:r>
      <w:hyperlink r:id="rId19">
        <w:r>
          <w:rPr>
            <w:color w:val="0000FF"/>
            <w:u w:val="single"/>
            <w:rFonts w:ascii="Times New Roman" w:hAnsi="Times New Roman"/>
          </w:rPr>
          <w:t xml:space="preserve">Deadline</w:t>
        </w:r>
      </w:hyperlink>
      <w:r>
        <w:rPr>
          <w:b w:val="0"/>
        </w:rPr>
        <w:t>)</w:t>
      </w:r>
    </w:p>
    <w:p>
      <w:pPr>
        <w:pStyle w:val="NoSpacing"/>
      </w:pPr>
      <w:r>
        <w:rPr>
          <w:b/>
          <w:color w:val="000000"/>
        </w:rPr>
        <w:t>Fashion:</w:t>
      </w:r>
    </w:p>
    <w:p>
      <w:pPr>
        <w:pStyle w:val="ListBullet"/>
      </w:pPr>
      <w:r>
        <w:rPr>
          <w:b w:val="0"/>
        </w:rPr>
        <w:t>WME has sold the trademarks and intellectual property of New York Fashion Week and NYFW: The Shows to media company Signet Fashion for an undisclosed sum, ending a two-year search for a buyer, WWD reported. Transferring one of fashion's most recognisable event brands to an IP-focused owner signals how fashion weeks are being reconceived as year-round media properties — a dynamic worth watching as Saudi Arabia scales Riyadh Fashion Week and its own fashion calendar. (</w:t>
      </w:r>
      <w:hyperlink r:id="rId20">
        <w:r>
          <w:rPr>
            <w:color w:val="0000FF"/>
            <w:u w:val="single"/>
            <w:rFonts w:ascii="Times New Roman" w:hAnsi="Times New Roman"/>
          </w:rPr>
          <w:t xml:space="preserve">WWD</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conflict now visible in hard economic data</w:t>
      </w:r>
    </w:p>
    <w:p>
      <w:pPr>
        <w:pStyle w:val="NoSpacing"/>
      </w:pPr>
      <w:r>
        <w:t>The 2026 Iran war continues to weigh on the Kingdom, and this cycle it shows up in the numbers rather than only in the headlines: a 4.8% second-quarter GDP contraction driven by a 24.7% fall in oil activity, tankers forced onto less visible and costlier routes, and a Strait of Hormuz that remains contested even as de-escalation talks proceed. Sustained volatility and a contraction narrative of this kind can colour investor and visitor confidence, on which the Kingdom's cultural and tourism build-out ultimately rests. This continues the energy-route and economic-exposure risk flagged across recent editions, now sharpened by fresh data.</w:t>
      </w:r>
    </w:p>
    <w:p>
      <w:pPr>
        <w:pStyle w:val="NoSpacing"/>
      </w:pPr>
      <w:r>
        <w:rPr>
          <w:b/>
        </w:rPr>
        <w:t xml:space="preserve">Source: </w:t>
      </w:r>
      <w:hyperlink r:id="rId10">
        <w:r>
          <w:rPr>
            <w:color w:val="0000FF"/>
            <w:u w:val="single"/>
            <w:rFonts w:ascii="Times New Roman" w:hAnsi="Times New Roman"/>
          </w:rPr>
          <w:t xml:space="preserve">MEED</w:t>
        </w:r>
      </w:hyperlink>
      <w:r>
        <w:rPr>
          <w:b w:val="0"/>
        </w:rPr>
        <w:t xml:space="preserve">, </w:t>
      </w:r>
      <w:hyperlink r:id="rId9">
        <w:r>
          <w:rPr>
            <w:color w:val="0000FF"/>
            <w:u w:val="single"/>
            <w:rFonts w:ascii="Times New Roman" w:hAnsi="Times New Roman"/>
          </w:rPr>
          <w:t xml:space="preserve">AGBI</w:t>
        </w:r>
      </w:hyperlink>
      <w:r>
        <w:rPr>
          <w:b w:val="0"/>
        </w:rPr>
        <w:t xml:space="preserve">, </w:t>
      </w:r>
      <w:hyperlink r:id="rId11">
        <w:r>
          <w:rPr>
            <w:color w:val="0000FF"/>
            <w:u w:val="single"/>
            <w:rFonts w:ascii="Times New Roman" w:hAnsi="Times New Roman"/>
          </w:rPr>
          <w:t xml:space="preserve">Foreign Policy</w:t>
        </w:r>
      </w:hyperlink>
    </w:p>
    <w:p>
      <w:pPr>
        <w:pStyle w:val="NoSpacing"/>
      </w:pPr>
      <w:r>
        <w:rPr>
          <w:b/>
        </w:rPr>
        <w:t xml:space="preserve">Consideration: </w:t>
      </w:r>
      <w:r>
        <w:t>Keep the Ministry's cultural programming and messaging deliberately distinct from the security and oil-market narrative — consistent with recent editions — anchoring the cultural story in credible delivery, heritage stewardship, public access, Saudi talent and safe international participation, so it reads as a steady long-term constant rather than a hostage to the conflict cycle.</w:t>
      </w:r>
    </w:p>
    <w:p>
      <w:pPr>
        <w:pStyle w:val="NoSpacing"/>
      </w:pPr>
    </w:p>
    <w:p>
      <w:pPr>
        <w:pStyle w:val="NoSpacing"/>
      </w:pPr>
      <w:r>
        <w:rPr>
          <w:b/>
          <w:color w:val="000000"/>
        </w:rPr>
        <w:t>2. Cultural narrative crowded out by a war-and-economy news cycle</w:t>
      </w:r>
    </w:p>
    <w:p>
      <w:pPr>
        <w:pStyle w:val="NoSpacing"/>
      </w:pPr>
      <w:r>
        <w:t>For a second consecutive cycle, essentially all in-window international coverage naming Saudi Arabia concerns the war, energy shipping and the economy, with very little fresh Saudi cultural coverage surfacing internationally. On days dominated by security and macroeconomics, there is a real risk that the Kingdom's cultural and soft-power story is read only through that lens, or simply goes unheard.</w:t>
      </w:r>
    </w:p>
    <w:p>
      <w:pPr>
        <w:pStyle w:val="NoSpacing"/>
      </w:pPr>
      <w:r>
        <w:rPr>
          <w:b/>
        </w:rPr>
        <w:t xml:space="preserve">Source: </w:t>
      </w:r>
      <w:hyperlink r:id="rId10">
        <w:r>
          <w:rPr>
            <w:color w:val="0000FF"/>
            <w:u w:val="single"/>
            <w:rFonts w:ascii="Times New Roman" w:hAnsi="Times New Roman"/>
          </w:rPr>
          <w:t xml:space="preserve">MEED</w:t>
        </w:r>
      </w:hyperlink>
      <w:r>
        <w:rPr>
          <w:b w:val="0"/>
        </w:rPr>
        <w:t xml:space="preserve">, </w:t>
      </w:r>
      <w:hyperlink r:id="rId9">
        <w:r>
          <w:rPr>
            <w:color w:val="0000FF"/>
            <w:u w:val="single"/>
            <w:rFonts w:ascii="Times New Roman" w:hAnsi="Times New Roman"/>
          </w:rPr>
          <w:t xml:space="preserve">AGBI</w:t>
        </w:r>
      </w:hyperlink>
    </w:p>
    <w:p>
      <w:pPr>
        <w:pStyle w:val="NoSpacing"/>
      </w:pPr>
      <w:r>
        <w:rPr>
          <w:b/>
        </w:rPr>
        <w:t xml:space="preserve">Consideration: </w:t>
      </w:r>
      <w:r>
        <w:t>Sustain a visibly distinct cultural-communications drumbeat — heritage, museums, festivals and creative-industry skills — so the cultural sector maintains its own independent presence in international coverage rather than being subsumed into the conflict story, reinforcing the framing recent editions have advised.</w:t>
      </w:r>
    </w:p>
    <w:p>
      <w:pPr>
        <w:pStyle w:val="NoSpacing"/>
      </w:pPr>
    </w:p>
    <w:p>
      <w:pPr>
        <w:pStyle w:val="NoSpacing"/>
      </w:pPr>
      <w:r>
        <w:rPr>
          <w:b/>
          <w:color w:val="A66500"/>
        </w:rPr>
        <w:t>Opportunities</w:t>
      </w:r>
    </w:p>
    <w:p>
      <w:pPr>
        <w:pStyle w:val="NoSpacing"/>
      </w:pPr>
      <w:r>
        <w:rPr>
          <w:b/>
          <w:color w:val="000000"/>
        </w:rPr>
        <w:t>1. Non-oil resilience strengthens the cultural-diversification case</w:t>
      </w:r>
    </w:p>
    <w:p>
      <w:pPr>
        <w:pStyle w:val="NoSpacing"/>
      </w:pPr>
      <w:r>
        <w:t>Even as the headline economy contracted, the non-oil sector kept growing, expanding 0.6% in the second quarter — a signal that the diversification agenda underpinning Vision 2030 is holding up under pressure. The cultural and creative industries are a visible part of that non-oil story, from heritage tourism to film, fashion and live events.</w:t>
      </w:r>
    </w:p>
    <w:p>
      <w:pPr>
        <w:pStyle w:val="NoSpacing"/>
      </w:pPr>
      <w:r>
        <w:rPr>
          <w:b/>
        </w:rPr>
        <w:t xml:space="preserve">Source: </w:t>
      </w:r>
      <w:hyperlink r:id="rId10">
        <w:r>
          <w:rPr>
            <w:color w:val="0000FF"/>
            <w:u w:val="single"/>
            <w:rFonts w:ascii="Times New Roman" w:hAnsi="Times New Roman"/>
          </w:rPr>
          <w:t xml:space="preserve">MEED</w:t>
        </w:r>
      </w:hyperlink>
    </w:p>
    <w:p>
      <w:pPr>
        <w:pStyle w:val="NoSpacing"/>
      </w:pPr>
      <w:r>
        <w:rPr>
          <w:b/>
        </w:rPr>
        <w:t xml:space="preserve">Consideration: </w:t>
      </w:r>
      <w:r>
        <w:t>Foreground the culture and creative sector's measurable contribution to non-oil growth and job creation, connecting individual cultural investments — museums, festivals, the commissions' skills pipelines — into a single national narrative of diversification that is delivering even in a difficult macro environment, without overstating the Ministry's role in the wider economic picture.</w:t>
      </w:r>
    </w:p>
    <w:p>
      <w:pPr>
        <w:pStyle w:val="NoSpacing"/>
      </w:pPr>
    </w:p>
    <w:p>
      <w:pPr>
        <w:pStyle w:val="NoSpacing"/>
      </w:pPr>
      <w:r>
        <w:rPr>
          <w:b/>
          <w:color w:val="000000"/>
        </w:rPr>
        <w:t>2. Heritage stewardship as a soft-power differentiator</w:t>
      </w:r>
    </w:p>
    <w:p>
      <w:pPr>
        <w:pStyle w:val="NoSpacing"/>
      </w:pPr>
      <w:r>
        <w:t>A cluster of global heritage stories this cycle — the call for a UNESCO investigation into conflict damage near Lebanon's Beaufort Castle, and major discoveries at Sardis in Türkiye, in Egypt's Nile Delta and in a Czech wetland — underlines both the vulnerability of heritage and the sustained international appetite for it. This mirrors the heritage-preservation theme recent editions have drawn from comparable global events.</w:t>
      </w:r>
    </w:p>
    <w:p>
      <w:pPr>
        <w:pStyle w:val="NoSpacing"/>
      </w:pPr>
      <w:r>
        <w:rPr>
          <w:b/>
        </w:rPr>
        <w:t xml:space="preserve">Source: </w:t>
      </w:r>
      <w:hyperlink r:id="rId13">
        <w:r>
          <w:rPr>
            <w:color w:val="0000FF"/>
            <w:u w:val="single"/>
            <w:rFonts w:ascii="Times New Roman" w:hAnsi="Times New Roman"/>
          </w:rPr>
          <w:t xml:space="preserve">The Art Newspaper</w:t>
        </w:r>
      </w:hyperlink>
      <w:r>
        <w:rPr>
          <w:b w:val="0"/>
        </w:rPr>
        <w:t xml:space="preserve">, </w:t>
      </w:r>
      <w:hyperlink r:id="rId14">
        <w:r>
          <w:rPr>
            <w:color w:val="0000FF"/>
            <w:u w:val="single"/>
            <w:rFonts w:ascii="Times New Roman" w:hAnsi="Times New Roman"/>
          </w:rPr>
          <w:t xml:space="preserve">Arkeonews</w:t>
        </w:r>
      </w:hyperlink>
      <w:r>
        <w:rPr>
          <w:b w:val="0"/>
        </w:rPr>
        <w:t xml:space="preserve">, </w:t>
      </w:r>
      <w:hyperlink r:id="rId15">
        <w:r>
          <w:rPr>
            <w:color w:val="0000FF"/>
            <w:u w:val="single"/>
            <w:rFonts w:ascii="Times New Roman" w:hAnsi="Times New Roman"/>
          </w:rPr>
          <w:t xml:space="preserve">Archaeology</w:t>
        </w:r>
      </w:hyperlink>
    </w:p>
    <w:p>
      <w:pPr>
        <w:pStyle w:val="NoSpacing"/>
      </w:pPr>
      <w:r>
        <w:rPr>
          <w:b/>
        </w:rPr>
        <w:t xml:space="preserve">Consideration: </w:t>
      </w:r>
      <w:r>
        <w:t>Position Saudi heritage stewardship at AlUla, Diriyah and Hegra around conservation, documentation, rescue archaeology and resilience — connecting the Kingdom's sites to the global heritage-protection conversation and telling a stewardship-and-discovery story, not only a development one.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gbi.com/shipping/2026/08/houthi-threat-fails-to-deter-saudi-crude-from-red-sea-passage/" TargetMode="External"/><Relationship Id="rId10" Type="http://schemas.openxmlformats.org/officeDocument/2006/relationships/hyperlink" Target="https://www.meed.com/saudi-economy-swings-to-48-contraction" TargetMode="External"/><Relationship Id="rId11" Type="http://schemas.openxmlformats.org/officeDocument/2006/relationships/hyperlink" Target="https://foreignpolicy.com/2026/08/03/saudi-arabia-emirates-iran-israel-uae-missile-defense-sanctions-hormuz/" TargetMode="External"/><Relationship Id="rId12" Type="http://schemas.openxmlformats.org/officeDocument/2006/relationships/hyperlink" Target="https://sana.sy/en/culture-and-arts/2334040/" TargetMode="External"/><Relationship Id="rId13" Type="http://schemas.openxmlformats.org/officeDocument/2006/relationships/hyperlink" Target="https://www.theartnewspaper.com/2026/08/03/unesco-urged-to-investigate-after-israeli-forces-trigger-explosion-near-lebanons-world-heritage-listed-beaufort-castle" TargetMode="External"/><Relationship Id="rId14" Type="http://schemas.openxmlformats.org/officeDocument/2006/relationships/hyperlink" Target="https://arkeonews.net/well-preserved-2-2-meter-monumental-statue-with-long-hair-emerges-after-2500-years-in-ancient-sardis/" TargetMode="External"/><Relationship Id="rId15" Type="http://schemas.openxmlformats.org/officeDocument/2006/relationships/hyperlink" Target="https://archaeology.org/news/2026/08/03/funerary-complex-excavated-near-egypts-mediterranean-coast/" TargetMode="External"/><Relationship Id="rId16" Type="http://schemas.openxmlformats.org/officeDocument/2006/relationships/hyperlink" Target="https://arkeonews.net/3000-year-old-bronze-hoard-unearthed-in-czech-wetland/" TargetMode="External"/><Relationship Id="rId17" Type="http://schemas.openxmlformats.org/officeDocument/2006/relationships/hyperlink" Target="https://www.theartnewspaper.com/2026/08/03/royal-museums-greenwich-workers-vote-to-strike-over-pay-and-working-conditions" TargetMode="External"/><Relationship Id="rId18" Type="http://schemas.openxmlformats.org/officeDocument/2006/relationships/hyperlink" Target="https://www.artnews.com/art-news/news/gagosian-london-basel-gallery-closures-1234794210/" TargetMode="External"/><Relationship Id="rId19" Type="http://schemas.openxmlformats.org/officeDocument/2006/relationships/hyperlink" Target="https://deadline.com/2026/08/universal-2026-global-box-office-odyssey-billion-1237015503/" TargetMode="External"/><Relationship Id="rId20" Type="http://schemas.openxmlformats.org/officeDocument/2006/relationships/hyperlink" Target="https://wwd.com/fashion-news/fashion-features/wme-sells-new-york-fashion-week-nyfw-signet-fashion-1239088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