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Spacing"/>
      </w:pPr>
      <w:r>
        <w:rPr>
          <w:b/>
          <w:color w:val="4A86E8"/>
        </w:rPr>
        <w:t>Headlines, 5 September 2026</w:t>
      </w:r>
    </w:p>
    <w:p>
      <w:pPr>
        <w:pStyle w:val="NoSpacing"/>
      </w:pPr>
    </w:p>
    <w:p>
      <w:pPr>
        <w:pStyle w:val="NoSpacing"/>
      </w:pPr>
      <w:r>
        <w:rPr>
          <w:b/>
          <w:color w:val="4A86E8"/>
        </w:rPr>
        <w:t>Saudi Arabia/Regional</w:t>
      </w:r>
    </w:p>
    <w:p>
      <w:pPr>
        <w:pStyle w:val="ListBullet"/>
      </w:pPr>
      <w:r>
        <w:t>New museum reflects on Saudi's post-oil future</w:t>
      </w:r>
    </w:p>
    <w:p>
      <w:pPr>
        <w:pStyle w:val="ListBullet"/>
      </w:pPr>
      <w:r>
        <w:t>Six Arab films are screening at Venice Film Festival</w:t>
      </w:r>
    </w:p>
    <w:p>
      <w:pPr>
        <w:pStyle w:val="NoSpacing"/>
      </w:pPr>
    </w:p>
    <w:p>
      <w:pPr>
        <w:pStyle w:val="NoSpacing"/>
      </w:pPr>
      <w:r>
        <w:rPr>
          <w:b/>
          <w:color w:val="EE0000"/>
        </w:rPr>
        <w:t>Negative Articles</w:t>
      </w:r>
    </w:p>
    <w:p>
      <w:pPr>
        <w:pStyle w:val="ListBullet"/>
      </w:pPr>
      <w:r>
        <w:t>US approves potential sale of Joint Direct Attack Munitions-Extend Range to Saudi Arabia for $5 billion</w:t>
      </w:r>
    </w:p>
    <w:p>
      <w:pPr>
        <w:pStyle w:val="ListBullet"/>
      </w:pPr>
      <w:r>
        <w:t>Saudi Arabia, Oman and Bahrain deport over 336,000 foreign workers in 2026 amid crackdown on Ethiopians, Ugandans and Nigerians</w:t>
      </w:r>
    </w:p>
    <w:p>
      <w:pPr>
        <w:pStyle w:val="NoSpacing"/>
      </w:pPr>
    </w:p>
    <w:p>
      <w:pPr>
        <w:pStyle w:val="NoSpacing"/>
      </w:pPr>
      <w:r>
        <w:rPr>
          <w:b/>
          <w:color w:val="4A86E8"/>
        </w:rPr>
        <w:t>Global</w:t>
      </w:r>
    </w:p>
    <w:p>
      <w:pPr>
        <w:pStyle w:val="ListBullet"/>
      </w:pPr>
      <w:r>
        <w:t>Toledo Museum of Art partners with Ethiopian Heritage Authority to find solutions for 'objects in limbo'</w:t>
      </w:r>
    </w:p>
    <w:p>
      <w:pPr>
        <w:pStyle w:val="ListBullet"/>
      </w:pPr>
      <w:r>
        <w:t>Assyrian capital Nimrud's 340-hectare lower town is finally coming into view after nearly 180 years</w:t>
      </w:r>
    </w:p>
    <w:p>
      <w:pPr>
        <w:pStyle w:val="ListBullet"/>
      </w:pPr>
      <w:r>
        <w:t>'Biggest surprise of my life': Denmark's largest Viking Age silver hoard discovered in backyard</w:t>
      </w:r>
    </w:p>
    <w:p>
      <w:pPr>
        <w:pStyle w:val="ListBullet"/>
      </w:pPr>
      <w:r>
        <w:t>China is boycotting a major Asian art festival over the naming of a Taiwanese exhibition</w:t>
      </w:r>
    </w:p>
    <w:p>
      <w:pPr>
        <w:pStyle w:val="ListBullet"/>
      </w:pPr>
      <w:r>
        <w:t>'Putin didn't win; art won': Venice Biennale president defends decision to allow Russia's participation</w:t>
      </w:r>
    </w:p>
    <w:p>
      <w:pPr>
        <w:pStyle w:val="ListBullet"/>
      </w:pPr>
      <w:r>
        <w:t>The Lucas Museum in Los Angeles doesn't have a narrative</w:t>
      </w:r>
    </w:p>
    <w:p>
      <w:pPr>
        <w:pStyle w:val="ListBullet"/>
      </w:pPr>
      <w:r>
        <w:t>One year after founder's death, Armani faces ticking clock</w:t>
      </w:r>
    </w:p>
    <w:p>
      <w:pPr>
        <w:pStyle w:val="ListBullet"/>
      </w:pPr>
      <w:r>
        <w:t>The Story review at the National Theatre</w:t>
      </w:r>
    </w:p>
    <w:p>
      <w:pPr>
        <w:pStyle w:val="ListBullet"/>
      </w:pPr>
      <w:r>
        <w:t>'My Undesirable Friends: Part II – Exile' review</w:t>
      </w:r>
    </w:p>
    <w:p>
      <w:pPr>
        <w:pStyle w:val="NoSpacing"/>
      </w:pPr>
    </w:p>
    <w:p>
      <w:r>
        <w:br w:type="page"/>
      </w:r>
    </w:p>
    <w:p>
      <w:pPr>
        <w:pStyle w:val="NoSpacing"/>
      </w:pPr>
      <w:r>
        <w:rPr>
          <w:b/>
          <w:color w:val="4A86E8"/>
        </w:rPr>
        <w:t>Saudi Arabia/Regional</w:t>
      </w:r>
    </w:p>
    <w:p>
      <w:pPr>
        <w:pStyle w:val="NoSpacing"/>
      </w:pPr>
      <w:r>
        <w:rPr>
          <w:b/>
          <w:color w:val="000000"/>
        </w:rPr>
        <w:t>Museums:</w:t>
      </w:r>
    </w:p>
    <w:p>
      <w:pPr>
        <w:pStyle w:val="ListBullet"/>
      </w:pPr>
      <w:r>
        <w:rPr>
          <w:b w:val="0"/>
        </w:rPr>
        <w:t>Riyadh's new Black Gold Museum, housed in a Zaha Hadid-designed building and backed by the Ministry of Culture and the state petroleum think tank, has opened with more than 350 works examining oil's place in Saudi society across the eras before, during and after the petroleum boom. Saudi artists long avoided depicting oil directly, and the museum reframes industrial motifs — rooftop water tanks, air-conditioning units — as nostalgic objects, giving the Kingdom a cultural vehicle for narrating its post-oil transition on its own terms. (</w:t>
      </w:r>
      <w:hyperlink r:id="rId9">
        <w:r>
          <w:rPr>
            <w:color w:val="0000FF"/>
            <w:u w:val="single"/>
            <w:rFonts w:ascii="Times New Roman" w:hAnsi="Times New Roman"/>
          </w:rPr>
          <w:t xml:space="preserve">Semafor</w:t>
        </w:r>
      </w:hyperlink>
      <w:r>
        <w:rPr>
          <w:b w:val="0"/>
        </w:rPr>
        <w:t>)</w:t>
      </w:r>
    </w:p>
    <w:p>
      <w:pPr>
        <w:pStyle w:val="NoSpacing"/>
      </w:pPr>
      <w:r>
        <w:rPr>
          <w:b/>
          <w:color w:val="000000"/>
        </w:rPr>
        <w:t>Film:</w:t>
      </w:r>
    </w:p>
    <w:p>
      <w:pPr>
        <w:pStyle w:val="ListBullet"/>
      </w:pPr>
      <w:r>
        <w:rPr>
          <w:b w:val="0"/>
        </w:rPr>
        <w:t>"Conversation With the Sea", a Palestine–Netherlands–Saudi Arabia–Qatar co-production, is among six Arab films screening at this year's Venice Film Festival. Saudi involvement as a co-producer on an internationally programmed title reflects the Film Commission's strategy of building the Kingdom's festival presence through cross-border partnership rather than domestic output alone. (</w:t>
      </w:r>
      <w:hyperlink r:id="rId10">
        <w:r>
          <w:rPr>
            <w:color w:val="0000FF"/>
            <w:u w:val="single"/>
            <w:rFonts w:ascii="Times New Roman" w:hAnsi="Times New Roman"/>
          </w:rPr>
          <w:t xml:space="preserve">GQ Middle East</w:t>
        </w:r>
      </w:hyperlink>
      <w:r>
        <w:rPr>
          <w:b w:val="0"/>
        </w:rPr>
        <w:t>)</w:t>
      </w:r>
    </w:p>
    <w:p>
      <w:pPr>
        <w:pStyle w:val="NoSpacing"/>
      </w:pPr>
    </w:p>
    <w:p>
      <w:pPr>
        <w:pStyle w:val="NoSpacing"/>
      </w:pPr>
      <w:r>
        <w:rPr>
          <w:b/>
          <w:color w:val="EE0000"/>
        </w:rPr>
        <w:t>Negative Articles</w:t>
      </w:r>
    </w:p>
    <w:p>
      <w:pPr>
        <w:pStyle w:val="ListBullet"/>
      </w:pPr>
      <w:r>
        <w:rPr>
          <w:b w:val="0"/>
        </w:rPr>
        <w:t>The US State Department has approved a potential $5 billion sale of Joint Direct Attack Munitions-Extend Range kits to Saudi Arabia, at a moment when the wider region is absorbed in an active Iran conflict and repeated attacks on shipping through the Strait of Hormuz. Coverage of major arms transfers keeps the Kingdom's defence relationships in international headlines and can complicate efforts to keep the cultural-sector narrative distinct from regional-security framing. (</w:t>
      </w:r>
      <w:hyperlink r:id="rId11">
        <w:r>
          <w:rPr>
            <w:color w:val="0000FF"/>
            <w:u w:val="single"/>
            <w:rFonts w:ascii="Times New Roman" w:hAnsi="Times New Roman"/>
          </w:rPr>
          <w:t xml:space="preserve">Reuters</w:t>
        </w:r>
      </w:hyperlink>
      <w:r>
        <w:rPr>
          <w:b w:val="0"/>
        </w:rPr>
        <w:t>)</w:t>
      </w:r>
    </w:p>
    <w:p>
      <w:pPr>
        <w:pStyle w:val="ListBullet"/>
      </w:pPr>
      <w:r>
        <w:rPr>
          <w:b w:val="0"/>
        </w:rPr>
        <w:t>Saudi Arabia, Oman and Bahrain have collectively deported more than 336,000 foreign workers so far in 2026 amid an intensified residency-and-labour crackdown, with Ethiopian, Ugandan and Nigerian nationals prominent among those removed. Migrant-labour enforcement on this scale sustains international scrutiny of the treatment of foreign workers and sits awkwardly alongside the outward-facing cultural and tourism narrative the Ministry is building. (</w:t>
      </w:r>
      <w:hyperlink r:id="rId12">
        <w:r>
          <w:rPr>
            <w:color w:val="0000FF"/>
            <w:u w:val="single"/>
            <w:rFonts w:ascii="Times New Roman" w:hAnsi="Times New Roman"/>
          </w:rPr>
          <w:t xml:space="preserve">Business Insider Africa</w:t>
        </w:r>
      </w:hyperlink>
      <w:r>
        <w:rPr>
          <w:b w:val="0"/>
        </w:rPr>
        <w:t>)</w:t>
      </w:r>
    </w:p>
    <w:p>
      <w:pPr>
        <w:pStyle w:val="NoSpacing"/>
      </w:pPr>
    </w:p>
    <w:p>
      <w:pPr>
        <w:pStyle w:val="NoSpacing"/>
      </w:pPr>
      <w:r>
        <w:rPr>
          <w:b/>
          <w:color w:val="4A86E8"/>
        </w:rPr>
        <w:t>Global</w:t>
      </w:r>
    </w:p>
    <w:p>
      <w:pPr>
        <w:pStyle w:val="NoSpacing"/>
      </w:pPr>
      <w:r>
        <w:rPr>
          <w:b/>
          <w:color w:val="000000"/>
        </w:rPr>
        <w:t>Heritage:</w:t>
      </w:r>
    </w:p>
    <w:p>
      <w:pPr>
        <w:pStyle w:val="ListBullet"/>
      </w:pPr>
      <w:r>
        <w:rPr>
          <w:b w:val="0"/>
        </w:rPr>
        <w:t>The Toledo Museum of Art has announced a 20-year partnership with the Ethiopian Heritage Authority to resolve the status of five unprovenanced objects — two manuscripts and three processional crosses — adopting the phrase "objects in limbo" over "orphaned objects" as a mark of respect. The good-faith, long-horizon model for handling contested holdings offers a reference point for how Saudi museums frame provenance and international cooperation as their collections grow. (</w:t>
      </w:r>
      <w:hyperlink r:id="rId13">
        <w:r>
          <w:rPr>
            <w:color w:val="0000FF"/>
            <w:u w:val="single"/>
            <w:rFonts w:ascii="Times New Roman" w:hAnsi="Times New Roman"/>
          </w:rPr>
          <w:t xml:space="preserve">The Art Newspaper</w:t>
        </w:r>
      </w:hyperlink>
      <w:r>
        <w:rPr>
          <w:b w:val="0"/>
        </w:rPr>
        <w:t>)</w:t>
      </w:r>
    </w:p>
    <w:p>
      <w:pPr>
        <w:pStyle w:val="ListBullet"/>
      </w:pPr>
      <w:r>
        <w:rPr>
          <w:b w:val="0"/>
        </w:rPr>
        <w:t>Archaeologists are mapping the 340-hectare lower town of the Assyrian capital Nimrud for the first time in nearly 180 years, using remote survey to reveal the scale of the ancient city beyond its long-excavated palaces. The story underscores the continued global appetite for major Near Eastern archaeology — the same register of heritage storytelling Saudi Arabia is pursuing at sites such as AlUla and Al-Faw. (</w:t>
      </w:r>
      <w:hyperlink r:id="rId14">
        <w:r>
          <w:rPr>
            <w:color w:val="0000FF"/>
            <w:u w:val="single"/>
            <w:rFonts w:ascii="Times New Roman" w:hAnsi="Times New Roman"/>
          </w:rPr>
          <w:t xml:space="preserve">Arkeonews</w:t>
        </w:r>
      </w:hyperlink>
      <w:r>
        <w:rPr>
          <w:b w:val="0"/>
        </w:rPr>
        <w:t>)</w:t>
      </w:r>
    </w:p>
    <w:p>
      <w:pPr>
        <w:pStyle w:val="ListBullet"/>
      </w:pPr>
      <w:r>
        <w:rPr>
          <w:b w:val="0"/>
        </w:rPr>
        <w:t>A homeowner in Denmark has uncovered the country's largest Viking Age silver hoard while digging a terrace, in a find archaeologists describe as one of the most significant of its kind. Discovery stories of this kind travel widely in international media and show the outsized cultural reach a single well-communicated archaeological find can achieve — a dynamic Saudi heritage bodies can note as their own excavation programme matures. (</w:t>
      </w:r>
      <w:hyperlink r:id="rId15">
        <w:r>
          <w:rPr>
            <w:color w:val="0000FF"/>
            <w:u w:val="single"/>
            <w:rFonts w:ascii="Times New Roman" w:hAnsi="Times New Roman"/>
          </w:rPr>
          <w:t xml:space="preserve">CNN</w:t>
        </w:r>
      </w:hyperlink>
      <w:r>
        <w:rPr>
          <w:b w:val="0"/>
        </w:rPr>
        <w:t>)</w:t>
      </w:r>
    </w:p>
    <w:p>
      <w:pPr>
        <w:pStyle w:val="NoSpacing"/>
      </w:pPr>
      <w:r>
        <w:rPr>
          <w:b/>
          <w:color w:val="000000"/>
        </w:rPr>
        <w:t>Visual Arts:</w:t>
      </w:r>
    </w:p>
    <w:p>
      <w:pPr>
        <w:pStyle w:val="ListBullet"/>
      </w:pPr>
      <w:r>
        <w:rPr>
          <w:b w:val="0"/>
        </w:rPr>
        <w:t>China is boycotting a major Asian art festival over the naming of a Taiwanese exhibition, injecting state-to-state geopolitics into a regional cultural showcase. The episode is a reminder of how quickly cultural programming can become entangled in diplomatic tension — a risk worth weighing as Saudi Arabia expands its own international biennale and exhibition partnerships. (</w:t>
      </w:r>
      <w:hyperlink r:id="rId16">
        <w:r>
          <w:rPr>
            <w:color w:val="0000FF"/>
            <w:u w:val="single"/>
            <w:rFonts w:ascii="Times New Roman" w:hAnsi="Times New Roman"/>
          </w:rPr>
          <w:t xml:space="preserve">Associated Press</w:t>
        </w:r>
      </w:hyperlink>
      <w:r>
        <w:rPr>
          <w:b w:val="0"/>
        </w:rPr>
        <w:t>)</w:t>
      </w:r>
    </w:p>
    <w:p>
      <w:pPr>
        <w:pStyle w:val="ListBullet"/>
      </w:pPr>
      <w:r>
        <w:rPr>
          <w:b w:val="0"/>
        </w:rPr>
        <w:t>The president of the Venice Biennale has defended the decision to allow Russia's pavilion to return, arguing "Putin didn't win; art won", in a move that has drawn both criticism and support. The debate highlights the contested terrain institutions navigate when separating art from the states that fund national pavilions — context relevant to Saudi Arabia's growing pavilion presence on the international circuit. (</w:t>
      </w:r>
      <w:hyperlink r:id="rId17">
        <w:r>
          <w:rPr>
            <w:color w:val="0000FF"/>
            <w:u w:val="single"/>
            <w:rFonts w:ascii="Times New Roman" w:hAnsi="Times New Roman"/>
          </w:rPr>
          <w:t xml:space="preserve">The Art Newspaper</w:t>
        </w:r>
      </w:hyperlink>
      <w:r>
        <w:rPr>
          <w:b w:val="0"/>
        </w:rPr>
        <w:t>)</w:t>
      </w:r>
    </w:p>
    <w:p>
      <w:pPr>
        <w:pStyle w:val="NoSpacing"/>
      </w:pPr>
      <w:r>
        <w:rPr>
          <w:b/>
          <w:color w:val="000000"/>
        </w:rPr>
        <w:t>Museums:</w:t>
      </w:r>
    </w:p>
    <w:p>
      <w:pPr>
        <w:pStyle w:val="ListBullet"/>
      </w:pPr>
      <w:r>
        <w:rPr>
          <w:b w:val="0"/>
        </w:rPr>
        <w:t>A review in ARTnews argues that the newly opened Lucas Museum of Narrative Art in Los Angeles struggles to articulate a coherent narrative despite its scale and ambition (this is a review). The piece is a useful cautionary read on the gap between architectural spectacle and curatorial clarity, pertinent as Saudi Arabia builds out a generation of major new museums. (</w:t>
      </w:r>
      <w:hyperlink r:id="rId18">
        <w:r>
          <w:rPr>
            <w:color w:val="0000FF"/>
            <w:u w:val="single"/>
            <w:rFonts w:ascii="Times New Roman" w:hAnsi="Times New Roman"/>
          </w:rPr>
          <w:t xml:space="preserve">ARTnews</w:t>
        </w:r>
      </w:hyperlink>
      <w:r>
        <w:rPr>
          <w:b w:val="0"/>
        </w:rPr>
        <w:t>)</w:t>
      </w:r>
    </w:p>
    <w:p>
      <w:pPr>
        <w:pStyle w:val="NoSpacing"/>
      </w:pPr>
      <w:r>
        <w:rPr>
          <w:b/>
          <w:color w:val="000000"/>
        </w:rPr>
        <w:t>Fashion:</w:t>
      </w:r>
    </w:p>
    <w:p>
      <w:pPr>
        <w:pStyle w:val="ListBullet"/>
      </w:pPr>
      <w:r>
        <w:rPr>
          <w:b w:val="0"/>
        </w:rPr>
        <w:t>One year after the death of its founder, the house of Giorgio Armani faces pressing questions about succession, ownership and creative direction, Business of Fashion reports. The situation illustrates the fragility of designer-led luxury houses and the value of building durable institutions over singular figures — a consideration for Saudi Arabia's fashion sector as it develops home-grown labels and design talent. (</w:t>
      </w:r>
      <w:hyperlink r:id="rId19">
        <w:r>
          <w:rPr>
            <w:color w:val="0000FF"/>
            <w:u w:val="single"/>
            <w:rFonts w:ascii="Times New Roman" w:hAnsi="Times New Roman"/>
          </w:rPr>
          <w:t xml:space="preserve">Business of Fashion</w:t>
        </w:r>
      </w:hyperlink>
      <w:r>
        <w:rPr>
          <w:b w:val="0"/>
        </w:rPr>
        <w:t>)</w:t>
      </w:r>
    </w:p>
    <w:p>
      <w:pPr>
        <w:pStyle w:val="NoSpacing"/>
      </w:pPr>
      <w:r>
        <w:rPr>
          <w:b/>
          <w:color w:val="000000"/>
        </w:rPr>
        <w:t>Theatre and Performing Arts:</w:t>
      </w:r>
    </w:p>
    <w:p>
      <w:pPr>
        <w:pStyle w:val="ListBullet"/>
      </w:pPr>
      <w:r>
        <w:rPr>
          <w:b w:val="0"/>
        </w:rPr>
        <w:t>The Stage has reviewed "The Story" at the National Theatre in London, a new production directed by Clint Dyer and featuring Letitia Wright (this is a review). Coverage of flagship national-theatre programming abroad offers a benchmark for the kind of stage productions Saudi Arabia's Theatre and Performing Arts Commission is working to cultivate as the Kingdom builds its live-performance infrastructure. (</w:t>
      </w:r>
      <w:hyperlink r:id="rId20">
        <w:r>
          <w:rPr>
            <w:color w:val="0000FF"/>
            <w:u w:val="single"/>
            <w:rFonts w:ascii="Times New Roman" w:hAnsi="Times New Roman"/>
          </w:rPr>
          <w:t xml:space="preserve">The Stage</w:t>
        </w:r>
      </w:hyperlink>
      <w:r>
        <w:rPr>
          <w:b w:val="0"/>
        </w:rPr>
        <w:t>)</w:t>
      </w:r>
    </w:p>
    <w:p>
      <w:pPr>
        <w:pStyle w:val="NoSpacing"/>
      </w:pPr>
      <w:r>
        <w:rPr>
          <w:b/>
          <w:color w:val="000000"/>
        </w:rPr>
        <w:t>Film:</w:t>
      </w:r>
    </w:p>
    <w:p>
      <w:pPr>
        <w:pStyle w:val="ListBullet"/>
      </w:pPr>
      <w:r>
        <w:rPr>
          <w:b w:val="0"/>
        </w:rPr>
        <w:t>Variety has reviewed "My Undesirable Friends: Part II – Exile", the latest instalment of a documentary project following independent Russian journalists in exile (this is a review). Its festival profile reflects the international documentary circuit's continuing focus on press freedom and displacement — thematic context for Saudi filmmakers and festivals as they navigate how politically weighted work is programmed and received abroad. (</w:t>
      </w:r>
      <w:hyperlink r:id="rId21">
        <w:r>
          <w:rPr>
            <w:color w:val="0000FF"/>
            <w:u w:val="single"/>
            <w:rFonts w:ascii="Times New Roman" w:hAnsi="Times New Roman"/>
          </w:rPr>
          <w:t xml:space="preserve">Variety</w:t>
        </w:r>
      </w:hyperlink>
      <w:r>
        <w:rPr>
          <w:b w:val="0"/>
        </w:rPr>
        <w:t>)</w:t>
      </w:r>
    </w:p>
    <w:p>
      <w:pPr>
        <w:pStyle w:val="NoSpacing"/>
      </w:pPr>
    </w:p>
    <w:p>
      <w:r>
        <w:br w:type="page"/>
      </w:r>
    </w:p>
    <w:p>
      <w:pPr>
        <w:pStyle w:val="NoSpacing"/>
      </w:pPr>
      <w:r>
        <w:rPr>
          <w:b/>
          <w:color w:val="4A86E8"/>
        </w:rPr>
        <w:t>Risks and Opportunities</w:t>
      </w:r>
    </w:p>
    <w:p>
      <w:pPr>
        <w:pStyle w:val="NoSpacing"/>
      </w:pPr>
    </w:p>
    <w:p>
      <w:pPr>
        <w:pStyle w:val="NoSpacing"/>
      </w:pPr>
      <w:r>
        <w:rPr>
          <w:b/>
          <w:color w:val="C00000"/>
        </w:rPr>
        <w:t>Risks</w:t>
      </w:r>
    </w:p>
    <w:p>
      <w:pPr>
        <w:pStyle w:val="NoSpacing"/>
      </w:pPr>
      <w:r>
        <w:rPr>
          <w:b/>
          <w:color w:val="000000"/>
        </w:rPr>
        <w:t>1. Regional security escalation widens the reputational backdrop</w:t>
      </w:r>
    </w:p>
    <w:p>
      <w:pPr>
        <w:pStyle w:val="NoSpacing"/>
      </w:pPr>
      <w:r>
        <w:t>An active Iran conflict dominated this cycle's regional coverage: Yemen's Houthis are pushing toward the Red Sea strait as ground fighting escalates, tankers have been attacked in the Strait of Hormuz, and the US has approved a $5 billion precision-munitions sale to Saudi Arabia. None of this is cultural news, but it forms the security frame through which international audiences currently read the region, and it can bleed into perceptions of travel confidence and cultural-tourism safety.</w:t>
      </w:r>
    </w:p>
    <w:p>
      <w:pPr>
        <w:pStyle w:val="NoSpacing"/>
      </w:pPr>
      <w:r>
        <w:rPr>
          <w:b/>
        </w:rPr>
        <w:t xml:space="preserve">Source: </w:t>
      </w:r>
      <w:hyperlink r:id="rId22">
        <w:r>
          <w:rPr>
            <w:color w:val="0000FF"/>
            <w:u w:val="single"/>
            <w:rFonts w:ascii="Times New Roman" w:hAnsi="Times New Roman"/>
          </w:rPr>
          <w:t xml:space="preserve">The New York Times</w:t>
        </w:r>
      </w:hyperlink>
      <w:r>
        <w:rPr>
          <w:b w:val="0"/>
        </w:rPr>
        <w:t xml:space="preserve">, </w:t>
      </w:r>
      <w:hyperlink r:id="rId11">
        <w:r>
          <w:rPr>
            <w:color w:val="0000FF"/>
            <w:u w:val="single"/>
            <w:rFonts w:ascii="Times New Roman" w:hAnsi="Times New Roman"/>
          </w:rPr>
          <w:t xml:space="preserve">Reuters</w:t>
        </w:r>
      </w:hyperlink>
    </w:p>
    <w:p>
      <w:pPr>
        <w:pStyle w:val="NoSpacing"/>
      </w:pPr>
      <w:r>
        <w:rPr>
          <w:b/>
        </w:rPr>
        <w:t xml:space="preserve">Consideration: </w:t>
      </w:r>
      <w:r>
        <w:t>Keep cultural-sector communications visibly distinct from regional-security coverage, foregrounding credible delivery, public access, safe international participation and Saudi talent rather than engaging the security narrative directly.</w:t>
      </w:r>
    </w:p>
    <w:p>
      <w:pPr>
        <w:pStyle w:val="NoSpacing"/>
      </w:pPr>
    </w:p>
    <w:p>
      <w:pPr>
        <w:pStyle w:val="NoSpacing"/>
      </w:pPr>
      <w:r>
        <w:rPr>
          <w:b/>
          <w:color w:val="000000"/>
        </w:rPr>
        <w:t>2. Migrant-labour enforcement sustains human-rights scrutiny</w:t>
      </w:r>
    </w:p>
    <w:p>
      <w:pPr>
        <w:pStyle w:val="NoSpacing"/>
      </w:pPr>
      <w:r>
        <w:t>A residency-and-labour crackdown that has seen more than 336,000 foreign workers deported across Saudi Arabia, Oman and Bahrain so far in 2026 — with Ethiopian, Ugandan and Nigerian nationals prominent among those removed — keeps labour-rights questions in international view at a time when the Ministry is emphasising institutional professionalism and talent development.</w:t>
      </w:r>
    </w:p>
    <w:p>
      <w:pPr>
        <w:pStyle w:val="NoSpacing"/>
      </w:pPr>
      <w:r>
        <w:rPr>
          <w:b/>
        </w:rPr>
        <w:t xml:space="preserve">Source: </w:t>
      </w:r>
      <w:hyperlink r:id="rId12">
        <w:r>
          <w:rPr>
            <w:color w:val="0000FF"/>
            <w:u w:val="single"/>
            <w:rFonts w:ascii="Times New Roman" w:hAnsi="Times New Roman"/>
          </w:rPr>
          <w:t xml:space="preserve">Business Insider Africa</w:t>
        </w:r>
      </w:hyperlink>
    </w:p>
    <w:p>
      <w:pPr>
        <w:pStyle w:val="NoSpacing"/>
      </w:pPr>
      <w:r>
        <w:rPr>
          <w:b/>
        </w:rPr>
        <w:t xml:space="preserve">Consideration: </w:t>
      </w:r>
      <w:r>
        <w:t>Anchor cultural-sector messaging in skills development, fair professional pathways for Saudi and international talent, and institutional standards, so the cultural story is not read against the labour-enforcement narrative.</w:t>
      </w:r>
    </w:p>
    <w:p>
      <w:pPr>
        <w:pStyle w:val="NoSpacing"/>
      </w:pPr>
    </w:p>
    <w:p>
      <w:pPr>
        <w:pStyle w:val="NoSpacing"/>
      </w:pPr>
      <w:r>
        <w:rPr>
          <w:b/>
          <w:color w:val="A66500"/>
        </w:rPr>
        <w:t>Opportunities</w:t>
      </w:r>
    </w:p>
    <w:p>
      <w:pPr>
        <w:pStyle w:val="NoSpacing"/>
      </w:pPr>
      <w:r>
        <w:rPr>
          <w:b/>
          <w:color w:val="000000"/>
        </w:rPr>
        <w:t>1. Saudi cultural output is reaching tier-one international platforms</w:t>
      </w:r>
    </w:p>
    <w:p>
      <w:pPr>
        <w:pStyle w:val="NoSpacing"/>
      </w:pPr>
      <w:r>
        <w:t>Two of this cycle's strongest Saudi stories show cultural production landing on global stages rather than only at home: Riyadh's new Black Gold Museum, in a Zaha Hadid building with Ministry of Culture backing, is drawing international coverage for how it narrates the Kingdom's post-oil transition through contemporary art, while the Saudi co-production "Conversation With the Sea" is screening among the Arab selection at the Venice Film Festival. Both reflect a maturing model of cultural soft power built on partnership and credible institutions.</w:t>
      </w:r>
    </w:p>
    <w:p>
      <w:pPr>
        <w:pStyle w:val="NoSpacing"/>
      </w:pPr>
      <w:r>
        <w:rPr>
          <w:b/>
        </w:rPr>
        <w:t xml:space="preserve">Source: </w:t>
      </w:r>
      <w:hyperlink r:id="rId9">
        <w:r>
          <w:rPr>
            <w:color w:val="0000FF"/>
            <w:u w:val="single"/>
            <w:rFonts w:ascii="Times New Roman" w:hAnsi="Times New Roman"/>
          </w:rPr>
          <w:t xml:space="preserve">Semafor</w:t>
        </w:r>
      </w:hyperlink>
      <w:r>
        <w:rPr>
          <w:b w:val="0"/>
        </w:rPr>
        <w:t xml:space="preserve">, </w:t>
      </w:r>
      <w:hyperlink r:id="rId10">
        <w:r>
          <w:rPr>
            <w:color w:val="0000FF"/>
            <w:u w:val="single"/>
            <w:rFonts w:ascii="Times New Roman" w:hAnsi="Times New Roman"/>
          </w:rPr>
          <w:t xml:space="preserve">GQ Middle East</w:t>
        </w:r>
      </w:hyperlink>
    </w:p>
    <w:p>
      <w:pPr>
        <w:pStyle w:val="NoSpacing"/>
      </w:pPr>
      <w:r>
        <w:rPr>
          <w:b/>
        </w:rPr>
        <w:t xml:space="preserve">Consideration: </w:t>
      </w:r>
      <w:r>
        <w:t>The Ministry can connect these into a single narrative — that Saudi cultural investment is producing internationally legible institutions and co-productions — rather than treating a museum opening and a festival credit as isolated announcements.</w:t>
      </w:r>
    </w:p>
    <w:p>
      <w:pPr>
        <w:pStyle w:val="NoSpacing"/>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semafor.com/article/09/03/2026/new-museum-reflects-on-saudis-post-oil-future" TargetMode="External"/><Relationship Id="rId10" Type="http://schemas.openxmlformats.org/officeDocument/2006/relationships/hyperlink" Target="https://www.gqmiddleeast.com/article/six-arab-films-are-screening-at-venice-film-festival" TargetMode="External"/><Relationship Id="rId11" Type="http://schemas.openxmlformats.org/officeDocument/2006/relationships/hyperlink" Target="https://www.reuters.com/world/middle-east/us-approves-potential-sale-joint-direct-attack-munitions-extend-range-saudi-2026-09-04/" TargetMode="External"/><Relationship Id="rId12" Type="http://schemas.openxmlformats.org/officeDocument/2006/relationships/hyperlink" Target="https://africa.businessinsider.com/local/lifestyle/saudi-arabia-oman-and-bahrain-deport-over-336000-foreign-workers-in-2026-amid/4e85825" TargetMode="External"/><Relationship Id="rId13" Type="http://schemas.openxmlformats.org/officeDocument/2006/relationships/hyperlink" Target="https://www.theartnewspaper.com/2026/09/04/toledo-museum-art-partners-ethiopian-heritage-authority-repatriation-five-artefacts" TargetMode="External"/><Relationship Id="rId14" Type="http://schemas.openxmlformats.org/officeDocument/2006/relationships/hyperlink" Target="https://arkeonews.net/assyrian-capital-nimruds-340-hectare-lower-town-is-finally-coming-into-view-after-nearly-180-years" TargetMode="External"/><Relationship Id="rId15" Type="http://schemas.openxmlformats.org/officeDocument/2006/relationships/hyperlink" Target="https://www.cnn.com/2026/09/04/science/denmark-viking-silver-hoard-intl-scli" TargetMode="External"/><Relationship Id="rId16" Type="http://schemas.openxmlformats.org/officeDocument/2006/relationships/hyperlink" Target="https://www.greenwichtime.com/entertainment/article/china-is-boycotting-a-major-asian-art-festival-22417416.php" TargetMode="External"/><Relationship Id="rId17" Type="http://schemas.openxmlformats.org/officeDocument/2006/relationships/hyperlink" Target="https://www.theartnewspaper.com/2026/09/04/venice-biennale-president-defends-decision-to-allow-russia-participation" TargetMode="External"/><Relationship Id="rId18" Type="http://schemas.openxmlformats.org/officeDocument/2006/relationships/hyperlink" Target="https://www.artnews.com/art-news/reviews/lucas-museum-los-angeles-review-1234796964" TargetMode="External"/><Relationship Id="rId19" Type="http://schemas.openxmlformats.org/officeDocument/2006/relationships/hyperlink" Target="https://www.businessoffashion.com/news/luxury/one-year-after-founders-death-armani-faces-ticking-clock" TargetMode="External"/><Relationship Id="rId20" Type="http://schemas.openxmlformats.org/officeDocument/2006/relationships/hyperlink" Target="https://www.thestage.co.uk/reviews/the-story-review-olivier-theatre-national-theatre-london-clint-dyer-letitia-wright" TargetMode="External"/><Relationship Id="rId21" Type="http://schemas.openxmlformats.org/officeDocument/2006/relationships/hyperlink" Target="https://variety.com/2026/film/news/my-undesirable-friends-part-ii-exile-review-1236848647" TargetMode="External"/><Relationship Id="rId22" Type="http://schemas.openxmlformats.org/officeDocument/2006/relationships/hyperlink" Target="https://www.nytimes.com/2026/09/04/world/middleeast/yemen-houthis-red-sea-strai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