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22 August 2026</w:t>
      </w:r>
    </w:p>
    <w:p>
      <w:pPr>
        <w:pStyle w:val="NoSpacing"/>
      </w:pPr>
    </w:p>
    <w:p>
      <w:pPr>
        <w:pStyle w:val="NoSpacing"/>
      </w:pPr>
      <w:r>
        <w:rPr>
          <w:b/>
          <w:color w:val="4A86E8"/>
        </w:rPr>
        <w:t>Saudi Arabia/Regional</w:t>
      </w:r>
    </w:p>
    <w:p>
      <w:pPr>
        <w:pStyle w:val="ListBullet"/>
      </w:pPr>
      <w:r>
        <w:t>Riyadh's JAX cultural district expands with Lift gallery arrival</w:t>
      </w:r>
    </w:p>
    <w:p>
      <w:pPr>
        <w:pStyle w:val="NoSpacing"/>
      </w:pPr>
    </w:p>
    <w:p>
      <w:pPr>
        <w:pStyle w:val="NoSpacing"/>
      </w:pPr>
      <w:r>
        <w:rPr>
          <w:b/>
          <w:color w:val="EE0000"/>
        </w:rPr>
        <w:t>Negative Articles</w:t>
      </w:r>
    </w:p>
    <w:p>
      <w:pPr>
        <w:pStyle w:val="ListBullet"/>
      </w:pPr>
      <w:r>
        <w:t>Tanker traffic at Saudi Arabia's Yanbu port falls by a third, report says</w:t>
      </w:r>
    </w:p>
    <w:p>
      <w:pPr>
        <w:pStyle w:val="ListBullet"/>
      </w:pPr>
      <w:r>
        <w:t>Saudi Arabia renews diplomatic efforts with Iraq</w:t>
      </w:r>
    </w:p>
    <w:p>
      <w:pPr>
        <w:pStyle w:val="NoSpacing"/>
      </w:pPr>
    </w:p>
    <w:p>
      <w:pPr>
        <w:pStyle w:val="NoSpacing"/>
      </w:pPr>
      <w:r>
        <w:rPr>
          <w:b/>
          <w:color w:val="4A86E8"/>
        </w:rPr>
        <w:t>Global</w:t>
      </w:r>
    </w:p>
    <w:p>
      <w:pPr>
        <w:pStyle w:val="ListBullet"/>
      </w:pPr>
      <w:r>
        <w:t>More than 100 works from Canada's federal collection of Indigenous art are 'unaccounted for'</w:t>
      </w:r>
    </w:p>
    <w:p>
      <w:pPr>
        <w:pStyle w:val="ListBullet"/>
      </w:pPr>
      <w:r>
        <w:t>Powerhouse Parramatta in Sydney sets opening date</w:t>
      </w:r>
    </w:p>
    <w:p>
      <w:pPr>
        <w:pStyle w:val="ListBullet"/>
      </w:pPr>
      <w:r>
        <w:t>Smithsonian races to finalise site for national Latino museum</w:t>
      </w:r>
    </w:p>
    <w:p>
      <w:pPr>
        <w:pStyle w:val="ListBullet"/>
      </w:pPr>
      <w:r>
        <w:t>Maya Lin to Build Otherworldly 'Floating Landscape' at UT Austin</w:t>
      </w:r>
    </w:p>
    <w:p>
      <w:pPr>
        <w:pStyle w:val="ListBullet"/>
      </w:pPr>
      <w:r>
        <w:t>Young adults with experience of having parents in prison to curate exhibition at London's Southbank Centre</w:t>
      </w:r>
    </w:p>
    <w:p>
      <w:pPr>
        <w:pStyle w:val="ListBullet"/>
      </w:pPr>
      <w:r>
        <w:t>'Spider-Man' Fourth Box Office Weekend Arrives; 'Insidious 6' Opens</w:t>
      </w:r>
    </w:p>
    <w:p>
      <w:pPr>
        <w:pStyle w:val="ListBullet"/>
      </w:pPr>
      <w:r>
        <w:t>Dior PR Executive Mathilde Favier Dies at 57</w:t>
      </w:r>
    </w:p>
    <w:p>
      <w:pPr>
        <w:pStyle w:val="ListBullet"/>
      </w:pPr>
      <w:r>
        <w:t>ZHA designs forest neighbourhoods for Baku Expo City masterplan</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Lift, a 6,500 sq ft hybrid gallery, co-working and concept-shop space founded by Princess Nouf bint Abdulaziz Al Saud and designed by Saudi firm Quartz, has relocated into Riyadh's JAX District, the pedestrianised warehouse quarter that also houses the Diriyah Biennale Foundation and the Saudi Museum of Contemporary Art. Rather than representing a fixed roster, Lift operates as a cross-disciplinary platform for emerging Saudi and regional talent across visual arts, design, film, photography and fashion, while collaborating with international names such as eL Seed. Its arrival adds further density to the Kingdom's flagship creative cluster and reinforces Riyadh's ambition to be read as a serious Gulf contemporary-art hub. (</w:t>
      </w:r>
      <w:hyperlink r:id="rId9">
        <w:r>
          <w:rPr>
            <w:color w:val="0000FF"/>
            <w:u w:val="single"/>
            <w:rFonts w:ascii="Times New Roman" w:hAnsi="Times New Roman"/>
          </w:rPr>
          <w:t xml:space="preserve">The Art Newspaper</w:t>
        </w:r>
      </w:hyperlink>
      <w:r>
        <w:rPr>
          <w:b w:val="0"/>
        </w:rPr>
        <w:t>)</w:t>
      </w:r>
    </w:p>
    <w:p>
      <w:pPr>
        <w:pStyle w:val="NoSpacing"/>
      </w:pPr>
    </w:p>
    <w:p>
      <w:pPr>
        <w:pStyle w:val="NoSpacing"/>
      </w:pPr>
      <w:r>
        <w:rPr>
          <w:b/>
          <w:color w:val="EE0000"/>
        </w:rPr>
        <w:t>Negative Articles</w:t>
      </w:r>
    </w:p>
    <w:p>
      <w:pPr>
        <w:pStyle w:val="ListBullet"/>
      </w:pPr>
      <w:r>
        <w:rPr>
          <w:b w:val="0"/>
        </w:rPr>
        <w:t>Petroleum shipments through Yanbu, Saudi Arabia's main Red Sea oil terminal, have fallen by more than a third since Yemen's Houthis declared a blockade of Saudi vessels through the Bab al-Mandeb strait on 20 July, with Aramco improvising a costly workaround via shuttle tankers to Egypt, the SUMED pipeline and Mediterranean reloading for Asian customers. The report frames the Kingdom largely as an exposed party rather than an actor, but the wider security-and-logistics backdrop is a reputational risk that can crowd out cultural coverage and unsettle the reliability narrative underpinning long-term investment; the outlet's Qatar-linked funding warrants reading its regional framing with that context in mind. (</w:t>
      </w:r>
      <w:hyperlink r:id="rId10">
        <w:r>
          <w:rPr>
            <w:color w:val="0000FF"/>
            <w:u w:val="single"/>
            <w:rFonts w:ascii="Times New Roman" w:hAnsi="Times New Roman"/>
          </w:rPr>
          <w:t xml:space="preserve">Middle East Eye</w:t>
        </w:r>
      </w:hyperlink>
      <w:r>
        <w:rPr>
          <w:b w:val="0"/>
        </w:rPr>
        <w:t>)</w:t>
      </w:r>
    </w:p>
    <w:p>
      <w:pPr>
        <w:pStyle w:val="ListBullet"/>
      </w:pPr>
      <w:r>
        <w:rPr>
          <w:b w:val="0"/>
        </w:rPr>
        <w:t>Saudi Arabia has renewed its invitation for Iraq's prime minister to visit Riyadh as the two governments work to steady relations, after a planned trip was cancelled when Iran-backed militias drone-struck Saudi energy sites and Riyadh responded with airstrikes conducted alongside the United States against the armed groups on Iraqi soil. The account places the Kingdom as an active participant in cross-border strikes rather than a bystander, and shows Gulf diplomacy straining under the Hormuz disruption, sustaining a security-and-conflict backdrop against which the Ministry's cultural messaging must compete for attention. (</w:t>
      </w:r>
      <w:hyperlink r:id="rId11">
        <w:r>
          <w:rPr>
            <w:color w:val="0000FF"/>
            <w:u w:val="single"/>
            <w:rFonts w:ascii="Times New Roman" w:hAnsi="Times New Roman"/>
          </w:rPr>
          <w:t xml:space="preserve">Semafor</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Canada's Indigenous Art Centre cannot account for 111 works, valued at an estimated C$14.4m, from its roughly 5,000-piece collection of First Nations, Métis and Inuit art, down only slightly from the 132 flagged in a 2024 audit. The case is a reminder of how quickly provenance and collection-management standards can erode even in well-resourced national institutions, and it offers an external reference point for the governance frameworks the Kingdom is building as it assembles new national holdings. (</w:t>
      </w:r>
      <w:hyperlink r:id="rId12">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Powerhouse Parramatta, described as Australia's largest cultural infrastructure project since the Sydney Opera House at A$915m and designed by Moreau Kusunoki with Genton, will open on 7 November with five inaugural exhibitions and more than 3,000 objects spanning science, technology, engineering, art and design, with largely free entry. The staged, free-access launch of a new flagship national museum is a useful model as Saudi Arabia prepares openings of its own major institutions and weighs how public access shapes early reputation. (</w:t>
      </w:r>
      <w:hyperlink r:id="rId13">
        <w:r>
          <w:rPr>
            <w:color w:val="0000FF"/>
            <w:u w:val="single"/>
            <w:rFonts w:ascii="Times New Roman" w:hAnsi="Times New Roman"/>
          </w:rPr>
          <w:t xml:space="preserve">Blooloop</w:t>
        </w:r>
      </w:hyperlink>
      <w:r>
        <w:rPr>
          <w:b w:val="0"/>
        </w:rPr>
        <w:t>)</w:t>
      </w:r>
    </w:p>
    <w:p>
      <w:pPr>
        <w:pStyle w:val="ListBullet"/>
      </w:pPr>
      <w:r>
        <w:rPr>
          <w:b w:val="0"/>
        </w:rPr>
        <w:t>The Smithsonian's board of regents is weighing housing the National Museum of the American Latino in the historic Arts and Industries Building on the National Mall, a route that would sidestep fresh congressional approval after dedicated funding was cancelled in the administration's May 2026 budget. The manoeuvre underlines how contested the politics of establishing identity-focused national museums can be, a consideration relevant to how any state frames the narrative and remit of new public cultural institutions. (</w:t>
      </w:r>
      <w:hyperlink r:id="rId14">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Maya Lin, best known for the Vietnam Veterans Memorial, will unveil her first public artwork in Texas in April 2027: a 3,600 sq ft curvilinear concrete installation with embedded LEDs mapping the constellations above Austin on the University of Texas's 1883 founding night, set within a restored native meadow. The commission is a strong example of ecologically minded, landscape-integrated public art, a register Saudi Arabia is itself pursuing through initiatives such as Wadi AlFann and Riyadh Art. (</w:t>
      </w:r>
      <w:hyperlink r:id="rId15">
        <w:r>
          <w:rPr>
            <w:color w:val="0000FF"/>
            <w:u w:val="single"/>
            <w:rFonts w:ascii="Times New Roman" w:hAnsi="Times New Roman"/>
          </w:rPr>
          <w:t xml:space="preserve">Hyperallergic</w:t>
        </w:r>
      </w:hyperlink>
      <w:r>
        <w:rPr>
          <w:b w:val="0"/>
        </w:rPr>
        <w:t>)</w:t>
      </w:r>
    </w:p>
    <w:p>
      <w:pPr>
        <w:pStyle w:val="ListBullet"/>
      </w:pPr>
      <w:r>
        <w:rPr>
          <w:b w:val="0"/>
        </w:rPr>
        <w:t>Five members of the Parental Imprisonment Collective, aged between 18 and 35, have curated Koestler Arts' exhibition Rock, Paper, Scissors at London's Southbank Centre, selecting more than 200 works from 7,500 entries by people in criminal-justice settings across art, writing, music, film and craft. The project is a notable model of participatory, socially engaged curation and cultural inclusion, an approach that resonates with the Kingdom's emphasis on widening public participation in the arts. (</w:t>
      </w:r>
      <w:hyperlink r:id="rId16">
        <w:r>
          <w:rPr>
            <w:color w:val="0000FF"/>
            <w:u w:val="single"/>
            <w:rFonts w:ascii="Times New Roman" w:hAnsi="Times New Roman"/>
          </w:rPr>
          <w:t xml:space="preserve">The Art Newspaper</w:t>
        </w:r>
      </w:hyperlink>
      <w:r>
        <w:rPr>
          <w:b w:val="0"/>
        </w:rPr>
        <w:t>)</w:t>
      </w:r>
    </w:p>
    <w:p>
      <w:pPr>
        <w:pStyle w:val="NoSpacing"/>
      </w:pPr>
      <w:r>
        <w:rPr>
          <w:b/>
          <w:color w:val="000000"/>
        </w:rPr>
        <w:t>Film:</w:t>
      </w:r>
    </w:p>
    <w:p>
      <w:pPr>
        <w:pStyle w:val="ListBullet"/>
      </w:pPr>
      <w:r>
        <w:rPr>
          <w:b w:val="0"/>
        </w:rPr>
        <w:t>Spider-Man: Brand New Day took an estimated $35m in its fourth weekend to become the fastest title to $800m domestically in 19 days, while Insidious: Out of the Further opened to around $23m, pointing to a resilient late-summer theatrical market. The health of the global box office is a relevant backdrop for Saudi Arabia's fast-growing cinema sector and its ambitions to expand both exhibition and homegrown production. (</w:t>
      </w:r>
      <w:hyperlink r:id="rId17">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Dior has confirmed the death of its longtime public relations executive Mathilde Favier, aged 57, in a car accident that also killed the French film producer Nicolas Altmayer; Favier spent some fifteen years shaping the house's celebrity and press relations. Her death marks the loss of a defining figure in luxury-fashion communications, a discipline increasingly central as Gulf fashion houses and events professionalise their own international press strategies. (</w:t>
      </w:r>
      <w:hyperlink r:id="rId18">
        <w:r>
          <w:rPr>
            <w:color w:val="0000FF"/>
            <w:u w:val="single"/>
            <w:rFonts w:ascii="Times New Roman" w:hAnsi="Times New Roman"/>
          </w:rPr>
          <w:t xml:space="preserve">WWD</w:t>
        </w:r>
      </w:hyperlink>
      <w:r>
        <w:rPr>
          <w:b w:val="0"/>
        </w:rPr>
        <w:t>)</w:t>
      </w:r>
    </w:p>
    <w:p>
      <w:pPr>
        <w:pStyle w:val="NoSpacing"/>
      </w:pPr>
      <w:r>
        <w:rPr>
          <w:b/>
          <w:color w:val="000000"/>
        </w:rPr>
        <w:t>Architecture and Design:</w:t>
      </w:r>
    </w:p>
    <w:p>
      <w:pPr>
        <w:pStyle w:val="ListBullet"/>
      </w:pPr>
      <w:r>
        <w:rPr>
          <w:b w:val="0"/>
        </w:rPr>
        <w:t>Zaha Hadid Architects has unveiled a 198-hectare masterplan for Baku Expo City in Azerbaijan, pairing stacked, green-roofed housing with an extended exhibition centre, congress hall, cultural venues and public parks, with outer homes engineered to act as wind barriers. The scheme is a clear signal of continued demand for starchitect-led, mixed-use cultural districts across the wider region, and a direct benchmark for the cultural masterplanning embedded in Saudi Arabia's own giga-projects. (</w:t>
      </w:r>
      <w:hyperlink r:id="rId19">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and Hormuz security pressures continuing to overshadow the cultural narrative</w:t>
      </w:r>
    </w:p>
    <w:p>
      <w:pPr>
        <w:pStyle w:val="NoSpacing"/>
      </w:pPr>
      <w:r>
        <w:t>The dominant Saudi-related coverage in this window remains geopolitical rather than cultural, and it is escalating along the same thread reported over recent days. Tanker traffic through Yanbu, the Kingdom's main Red Sea oil terminal, has fallen by more than a third under the Houthi blockade of the Bab al-Mandeb strait, forcing Aramco into a costly overland workaround via Egypt, while separate reporting places Saudi Arabia as an active participant in US-backed airstrikes against Iran-aligned militias on Iraqi soil as it tries to repair regional diplomacy. The sheer weight of security-and-energy reporting can crowd out the cultural achievements the Ministry is working to surface internationally, and casts the Kingdom alternately as an exposed party and as a combatant.</w:t>
      </w:r>
    </w:p>
    <w:p>
      <w:pPr>
        <w:pStyle w:val="NoSpacing"/>
      </w:pPr>
      <w:r>
        <w:rPr>
          <w:b/>
        </w:rPr>
        <w:t xml:space="preserve">Source: </w:t>
      </w:r>
      <w:hyperlink r:id="rId10">
        <w:r>
          <w:rPr>
            <w:color w:val="0000FF"/>
            <w:u w:val="single"/>
            <w:rFonts w:ascii="Times New Roman" w:hAnsi="Times New Roman"/>
          </w:rPr>
          <w:t xml:space="preserve">Middle East Eye</w:t>
        </w:r>
      </w:hyperlink>
      <w:r>
        <w:rPr>
          <w:b w:val="0"/>
        </w:rPr>
        <w:t xml:space="preserve">, </w:t>
      </w:r>
      <w:hyperlink r:id="rId11">
        <w:r>
          <w:rPr>
            <w:color w:val="0000FF"/>
            <w:u w:val="single"/>
            <w:rFonts w:ascii="Times New Roman" w:hAnsi="Times New Roman"/>
          </w:rPr>
          <w:t xml:space="preserve">Semafor</w:t>
        </w:r>
      </w:hyperlink>
    </w:p>
    <w:p>
      <w:pPr>
        <w:pStyle w:val="NoSpacing"/>
      </w:pPr>
      <w:r>
        <w:rPr>
          <w:b/>
        </w:rPr>
        <w:t xml:space="preserve">Consideration: </w:t>
      </w:r>
      <w:r>
        <w:t>Consistent with the assessment carried in recent editions, keep the Ministry's cultural story deliberately distinct from the security-and-energy narrative rather than reactive to it, foregrounding credible delivery, public access, Saudi talent and heritage stewardship. The situation has intensified but not changed in character, so the response should remain steady: consistent, high-quality cultural output is the most effective counterweight to a news cycle dominated by regional risk, and should not be paused or reframed in response to it.</w:t>
      </w:r>
    </w:p>
    <w:p>
      <w:pPr>
        <w:pStyle w:val="NoSpacing"/>
      </w:pPr>
    </w:p>
    <w:p>
      <w:pPr>
        <w:pStyle w:val="NoSpacing"/>
      </w:pPr>
      <w:r>
        <w:rPr>
          <w:b/>
          <w:color w:val="A66500"/>
        </w:rPr>
        <w:t>Opportunities</w:t>
      </w:r>
    </w:p>
    <w:p>
      <w:pPr>
        <w:pStyle w:val="NoSpacing"/>
      </w:pPr>
      <w:r>
        <w:rPr>
          <w:b/>
          <w:color w:val="000000"/>
        </w:rPr>
        <w:t>1. Riyadh's contemporary-art infrastructure continuing to deepen</w:t>
      </w:r>
    </w:p>
    <w:p>
      <w:pPr>
        <w:pStyle w:val="NoSpacing"/>
      </w:pPr>
      <w:r>
        <w:t>Against that noisy geopolitical backdrop, the clearest cultural bright spot in the window is the continued build-out of Riyadh's creative ecosystem: the arrival of the Lift gallery in the JAX District adds a further cross-disciplinary space for emerging Saudi and regional artists alongside the Diriyah Biennale Foundation and the Saudi Museum of Contemporary Art already anchored there. It shows the Kingdom's contemporary-art scene maturing through everyday institution-building rather than one-off events, and doing so through Saudi founders, Saudi design firms and homegrown talent pipelines.</w:t>
      </w:r>
    </w:p>
    <w:p>
      <w:pPr>
        <w:pStyle w:val="NoSpacing"/>
      </w:pPr>
      <w:r>
        <w:rPr>
          <w:b/>
        </w:rPr>
        <w:t xml:space="preserve">Source: </w:t>
      </w:r>
      <w:hyperlink r:id="rId9">
        <w:r>
          <w:rPr>
            <w:color w:val="0000FF"/>
            <w:u w:val="single"/>
            <w:rFonts w:ascii="Times New Roman" w:hAnsi="Times New Roman"/>
          </w:rPr>
          <w:t xml:space="preserve">The Art Newspaper</w:t>
        </w:r>
      </w:hyperlink>
    </w:p>
    <w:p>
      <w:pPr>
        <w:pStyle w:val="NoSpacing"/>
      </w:pPr>
      <w:r>
        <w:rPr>
          <w:b/>
        </w:rPr>
        <w:t xml:space="preserve">Consideration: </w:t>
      </w:r>
      <w:r>
        <w:t>Connect individual openings like this into a single narrative about Riyadh's creative districts maturing into a permanent cultural economy, rather than treating each as an isolated announcement. Where the Ministry is not directly involved — Lift is a privately founded gallery — attribute accurately and avoid implying Ministry ownership, while still drawing the through-line about the depth and momentum of the Kingdom's contemporary-art infrastructure.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artnewspaper.com/2026/08/21/riyadhs-jax-cultural-district-expands-with-lift-gallery-arrival" TargetMode="External"/><Relationship Id="rId10" Type="http://schemas.openxmlformats.org/officeDocument/2006/relationships/hyperlink" Target="https://www.middleeasteye.net/live-blog/live-blog-update/tanker-traffic-saudi-arabias-yanbu-port-falls-third-report-says" TargetMode="External"/><Relationship Id="rId11" Type="http://schemas.openxmlformats.org/officeDocument/2006/relationships/hyperlink" Target="https://www.semafor.com/article/08/21/2026/saudi-arabia-renews-diplomatic-efforts-with-iraq" TargetMode="External"/><Relationship Id="rId12" Type="http://schemas.openxmlformats.org/officeDocument/2006/relationships/hyperlink" Target="https://www.theartnewspaper.com/2026/08/21/canada-federal-indigenous-art-collection-111-works-unaccounted-for" TargetMode="External"/><Relationship Id="rId13" Type="http://schemas.openxmlformats.org/officeDocument/2006/relationships/hyperlink" Target="https://blooloop.com/news/powerhouse-parramatta-november-opening-date" TargetMode="External"/><Relationship Id="rId14" Type="http://schemas.openxmlformats.org/officeDocument/2006/relationships/hyperlink" Target="https://www.theartnewspaper.com/2026/08/21/smithsonian-institution-latino-museum-arts-industries-building-washington" TargetMode="External"/><Relationship Id="rId15" Type="http://schemas.openxmlformats.org/officeDocument/2006/relationships/hyperlink" Target="https://hyperallergic.com/maya-lin-to-build-otherworldly-floating-landscape-at-ut-austin/" TargetMode="External"/><Relationship Id="rId16" Type="http://schemas.openxmlformats.org/officeDocument/2006/relationships/hyperlink" Target="https://www.theartnewspaper.com/2026/08/21/young-adults-with-experience-of-having-parents-in-prison-to-curate-southbank-centre-exhibition" TargetMode="External"/><Relationship Id="rId17" Type="http://schemas.openxmlformats.org/officeDocument/2006/relationships/hyperlink" Target="https://deadline.com/2026/08/spider-man-insidious-out-of-the-further-global-box-office-1237046811/" TargetMode="External"/><Relationship Id="rId18" Type="http://schemas.openxmlformats.org/officeDocument/2006/relationships/hyperlink" Target="https://wwd.com/fashion-news/designer-luxury/mathilde-favier-dies-dior-pr-1239127748/" TargetMode="External"/><Relationship Id="rId19" Type="http://schemas.openxmlformats.org/officeDocument/2006/relationships/hyperlink" Target="https://www.dezeen.com/2026/08/21/zha-baku-expo-city-master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