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60"/>
      </w:pPr>
      <w:r>
        <w:rPr>
          <w:b/>
          <w:color w:val="4A86E8"/>
          <w:sz w:val="24"/>
        </w:rPr>
        <w:t>Headlines, 20 July 2026</w:t>
      </w:r>
    </w:p>
    <w:p>
      <w:pPr>
        <w:spacing w:before="120" w:after="60"/>
      </w:pPr>
      <w:r>
        <w:rPr>
          <w:b/>
          <w:color w:val="4A86E8"/>
          <w:sz w:val="24"/>
        </w:rPr>
        <w:t>Saudi Arabia/Regional</w:t>
      </w:r>
    </w:p>
    <w:p>
      <w:pPr>
        <w:pStyle w:val="ListBullet"/>
        <w:spacing w:after="40"/>
      </w:pPr>
      <w:r>
        <w:rPr>
          <w:sz w:val="24"/>
        </w:rPr>
        <w:t>What Wall Street Never Understood About Gulf Investors</w:t>
      </w:r>
    </w:p>
    <w:p>
      <w:pPr>
        <w:pStyle w:val="ListBullet"/>
        <w:spacing w:after="40"/>
      </w:pPr>
      <w:r>
        <w:rPr>
          <w:sz w:val="24"/>
        </w:rPr>
        <w:t>CEO of new airline Riyadh Air on the state of the aviation market</w:t>
      </w:r>
    </w:p>
    <w:p>
      <w:pPr>
        <w:spacing w:before="120" w:after="60"/>
      </w:pPr>
      <w:r>
        <w:rPr>
          <w:b/>
          <w:color w:val="4A86E8"/>
          <w:sz w:val="24"/>
        </w:rPr>
        <w:t>Negative Articles</w:t>
      </w:r>
    </w:p>
    <w:p>
      <w:pPr>
        <w:pStyle w:val="ListBullet"/>
        <w:spacing w:after="40"/>
      </w:pPr>
      <w:r>
        <w:rPr>
          <w:sz w:val="24"/>
        </w:rPr>
        <w:t>Yemen's Houthis declare naval blockade against Saudi Arabia</w:t>
      </w:r>
    </w:p>
    <w:p>
      <w:pPr>
        <w:spacing w:before="120" w:after="60"/>
      </w:pPr>
      <w:r>
        <w:rPr>
          <w:b/>
          <w:color w:val="4A86E8"/>
          <w:sz w:val="24"/>
        </w:rPr>
        <w:t>Global</w:t>
      </w:r>
    </w:p>
    <w:p>
      <w:pPr>
        <w:pStyle w:val="ListBullet"/>
        <w:spacing w:after="40"/>
      </w:pPr>
      <w:r>
        <w:rPr>
          <w:sz w:val="24"/>
        </w:rPr>
        <w:t>As Andy Burnham becomes the new UK prime minister, here are five key challenges facing his culture ministry</w:t>
      </w:r>
    </w:p>
    <w:p>
      <w:pPr>
        <w:pStyle w:val="ListBullet"/>
        <w:spacing w:after="40"/>
      </w:pPr>
      <w:r>
        <w:rPr>
          <w:sz w:val="24"/>
        </w:rPr>
        <w:t>Union threatens strike action over working conditions in Venice museums due to extreme temperatures</w:t>
      </w:r>
    </w:p>
    <w:p>
      <w:pPr>
        <w:pStyle w:val="ListBullet"/>
        <w:spacing w:after="40"/>
      </w:pPr>
      <w:r>
        <w:rPr>
          <w:sz w:val="24"/>
        </w:rPr>
        <w:t>What World Heritage honor will and won't mean for Georgia's Okefenokee Swamp</w:t>
      </w:r>
    </w:p>
    <w:p>
      <w:r>
        <w:br w:type="page"/>
      </w:r>
    </w:p>
    <w:p>
      <w:pPr>
        <w:spacing w:before="120" w:after="60"/>
      </w:pPr>
      <w:r>
        <w:rPr>
          <w:b/>
          <w:color w:val="4A86E8"/>
          <w:sz w:val="24"/>
        </w:rPr>
        <w:t>Saudi Arabia/Regional</w:t>
      </w:r>
    </w:p>
    <w:p>
      <w:pPr>
        <w:spacing w:before="80" w:after="20"/>
      </w:pPr>
      <w:r>
        <w:rPr>
          <w:b/>
          <w:color w:val="000000"/>
          <w:sz w:val="24"/>
        </w:rPr>
        <w:t>General (عام)</w:t>
      </w:r>
    </w:p>
    <w:p>
      <w:pPr>
        <w:pStyle w:val="ListBullet"/>
        <w:spacing w:after="40"/>
      </w:pPr>
      <w:r>
        <w:rPr>
          <w:b w:val="0"/>
        </w:rPr>
        <w:t>Bloomberg Opinion columnist Mihir Sharma argues that global banks long treated the Gulf as a single, obliging pool of capital and are now being forced to adjust as the rift between Saudi Arabia and the United Arab Emirates spills from geopolitics into finance, a shift compounded by the fallout of the Iran war. For the Kingdom, the piece underlines that international capital increasingly reads Saudi Arabia on its own terms rather than as part of an undifferentiated Gulf bloc, which gives the cultural-investment story room to be told distinctly but also raises the bar for a clearly articulated national proposition. (</w:t>
      </w:r>
      <w:hyperlink r:id="rId9">
        <w:r>
          <w:rPr>
            <w:color w:val="0563C1"/>
            <w:u w:val="single"/>
            <w:rFonts w:ascii="Aptos" w:hAnsi="Aptos"/>
          </w:rPr>
          <w:t xml:space="preserve">Bloomberg</w:t>
        </w:r>
      </w:hyperlink>
      <w:r>
        <w:rPr>
          <w:b w:val="0"/>
        </w:rPr>
        <w:t>)</w:t>
      </w:r>
    </w:p>
    <w:p>
      <w:pPr>
        <w:pStyle w:val="ListBullet"/>
        <w:spacing w:after="40"/>
      </w:pPr>
      <w:r>
        <w:rPr>
          <w:b w:val="0"/>
        </w:rPr>
        <w:t>In a CNBC interview, the chief executive of Riyadh Air discussed the state of the global aviation market and the young carrier's growth plans as it scales up its wide-body fleet. As the Kingdom's new flag carrier and a Vision 2030 connectivity venture, Riyadh Air's expansion is a practical enabler of the inbound cultural tourism that the Ministry's heritage sites, festivals and events programming rely on. (</w:t>
      </w:r>
      <w:hyperlink r:id="rId10">
        <w:r>
          <w:rPr>
            <w:color w:val="0563C1"/>
            <w:u w:val="single"/>
            <w:rFonts w:ascii="Aptos" w:hAnsi="Aptos"/>
          </w:rPr>
          <w:t xml:space="preserve">CNBC</w:t>
        </w:r>
      </w:hyperlink>
      <w:r>
        <w:rPr>
          <w:b w:val="0"/>
        </w:rPr>
        <w:t>)</w:t>
      </w:r>
    </w:p>
    <w:p>
      <w:pPr>
        <w:spacing w:before="120" w:after="60"/>
      </w:pPr>
      <w:r>
        <w:rPr>
          <w:b/>
          <w:color w:val="4A86E8"/>
          <w:sz w:val="24"/>
        </w:rPr>
        <w:t>Negative Articles</w:t>
      </w:r>
    </w:p>
    <w:p>
      <w:pPr>
        <w:pStyle w:val="ListBullet"/>
        <w:spacing w:after="40"/>
      </w:pPr>
      <w:r>
        <w:rPr>
          <w:b w:val="0"/>
        </w:rPr>
        <w:t>Yemen's Iran-aligned Houthis have declared a naval blockade against Saudi Arabia with immediate effect, describing the maritime embargo as retaliation for a years-long grievance and issuing it days after firing missiles at the Kingdom in a move that broke a four-year truce. The escalation revives security and shipping-risk narratives around Saudi Arabia just as the cultural sector works to project openness and safety to international visitors and investors, making it a reputational backdrop the Ministry will need to navigate even though it sits well outside culture itself. (</w:t>
      </w:r>
      <w:hyperlink r:id="rId11">
        <w:r>
          <w:rPr>
            <w:color w:val="0563C1"/>
            <w:u w:val="single"/>
            <w:rFonts w:ascii="Aptos" w:hAnsi="Aptos"/>
          </w:rPr>
          <w:t xml:space="preserve">Reuters</w:t>
        </w:r>
      </w:hyperlink>
      <w:r>
        <w:rPr>
          <w:b w:val="0"/>
        </w:rPr>
        <w:t>)</w:t>
      </w:r>
    </w:p>
    <w:p>
      <w:pPr>
        <w:spacing w:before="120" w:after="60"/>
      </w:pPr>
      <w:r>
        <w:rPr>
          <w:b/>
          <w:color w:val="4A86E8"/>
          <w:sz w:val="24"/>
        </w:rPr>
        <w:t>Global</w:t>
      </w:r>
    </w:p>
    <w:p>
      <w:pPr>
        <w:spacing w:before="80" w:after="20"/>
      </w:pPr>
      <w:r>
        <w:rPr>
          <w:b/>
          <w:color w:val="000000"/>
          <w:sz w:val="24"/>
        </w:rPr>
        <w:t>General (عام)</w:t>
      </w:r>
    </w:p>
    <w:p>
      <w:pPr>
        <w:pStyle w:val="ListBullet"/>
        <w:spacing w:after="40"/>
      </w:pPr>
      <w:r>
        <w:rPr>
          <w:b w:val="0"/>
        </w:rPr>
        <w:t>The Art Newspaper set out five cultural-policy challenges facing the UK's new government under incoming prime minister Andy Burnham, from protecting free museum admission and arts funding to museum restitution reform and fair compensation for creators whose work trains artificial-intelligence systems. The piece is a useful comparator for the Ministry as it develops its own positions on access, restitution and AI in culture, debates that are increasingly common ground across national culture ministries. (</w:t>
      </w:r>
      <w:hyperlink r:id="rId12">
        <w:r>
          <w:rPr>
            <w:color w:val="0563C1"/>
            <w:u w:val="single"/>
            <w:rFonts w:ascii="Aptos" w:hAnsi="Aptos"/>
          </w:rPr>
          <w:t xml:space="preserve">The Art Newspaper</w:t>
        </w:r>
      </w:hyperlink>
      <w:r>
        <w:rPr>
          <w:b w:val="0"/>
        </w:rPr>
        <w:t>)</w:t>
      </w:r>
    </w:p>
    <w:p>
      <w:pPr>
        <w:spacing w:before="80" w:after="20"/>
      </w:pPr>
      <w:r>
        <w:rPr>
          <w:b/>
          <w:color w:val="000000"/>
          <w:sz w:val="24"/>
        </w:rPr>
        <w:t>Museums (المتاحف)</w:t>
      </w:r>
    </w:p>
    <w:p>
      <w:pPr>
        <w:pStyle w:val="ListBullet"/>
        <w:spacing w:after="40"/>
      </w:pPr>
      <w:r>
        <w:rPr>
          <w:b w:val="0"/>
        </w:rPr>
        <w:t>A base union has signalled a formal labour dispute over conditions at Venice's museums, alleging that cooling systems went unmaintained as perceived temperatures reached 40C and that staff were left without water or heatstroke training, while management pointed to the constraints of adapting historic buildings. The dispute highlights the operational challenge of running heritage venues through extreme summer heat, a question directly relevant to Saudi institutions programming visitor experiences in a hot climate. (</w:t>
      </w:r>
      <w:hyperlink r:id="rId13">
        <w:r>
          <w:rPr>
            <w:color w:val="0563C1"/>
            <w:u w:val="single"/>
            <w:rFonts w:ascii="Aptos" w:hAnsi="Aptos"/>
          </w:rPr>
          <w:t xml:space="preserve">The Art Newspaper</w:t>
        </w:r>
      </w:hyperlink>
      <w:r>
        <w:rPr>
          <w:b w:val="0"/>
        </w:rPr>
        <w:t>)</w:t>
      </w:r>
    </w:p>
    <w:p>
      <w:pPr>
        <w:spacing w:before="80" w:after="20"/>
      </w:pPr>
      <w:r>
        <w:rPr>
          <w:b/>
          <w:color w:val="000000"/>
          <w:sz w:val="24"/>
        </w:rPr>
        <w:t>Heritage (التراث)</w:t>
      </w:r>
    </w:p>
    <w:p>
      <w:pPr>
        <w:pStyle w:val="ListBullet"/>
        <w:spacing w:after="40"/>
      </w:pPr>
      <w:r>
        <w:rPr>
          <w:b w:val="0"/>
        </w:rPr>
        <w:t>The Atlanta Journal-Constitution examined what a UNESCO World Heritage inscription would and would not mean for Georgia's Okefenokee Swamp, noting projections that the status could lift annual visitors from around 800,000 towards 1.4 to 1.6 million by 2035 while conferring no new legal control over nearby land use. The visitor-economy multiplier it describes mirrors the case the Kingdom makes for its own World Heritage portfolio, from Hegra and AlUla to Diriyah and Al-Faw, and offers a helpful external data point for that argument. (</w:t>
      </w:r>
      <w:hyperlink r:id="rId14">
        <w:r>
          <w:rPr>
            <w:color w:val="0563C1"/>
            <w:u w:val="single"/>
            <w:rFonts w:ascii="Aptos" w:hAnsi="Aptos"/>
          </w:rPr>
          <w:t xml:space="preserve">The Atlanta Journal-Constitution</w:t>
        </w:r>
      </w:hyperlink>
      <w:r>
        <w:rPr>
          <w:b w:val="0"/>
        </w:rPr>
        <w:t>)</w:t>
      </w:r>
    </w:p>
    <w:p>
      <w:r>
        <w:br w:type="page"/>
      </w:r>
    </w:p>
    <w:p>
      <w:pPr>
        <w:spacing w:before="120" w:after="60"/>
      </w:pPr>
      <w:r>
        <w:rPr>
          <w:b/>
          <w:color w:val="4A86E8"/>
          <w:sz w:val="24"/>
        </w:rPr>
        <w:t>Risks and Opportunities</w:t>
      </w:r>
    </w:p>
    <w:p>
      <w:pPr>
        <w:spacing w:before="80" w:after="20"/>
      </w:pPr>
      <w:r>
        <w:rPr>
          <w:b/>
          <w:color w:val="C00000"/>
          <w:sz w:val="24"/>
        </w:rPr>
        <w:t>Risks</w:t>
      </w:r>
    </w:p>
    <w:p>
      <w:r>
        <w:rPr>
          <w:b/>
          <w:color w:val="000000"/>
          <w:sz w:val="24"/>
        </w:rPr>
        <w:t>1. Regional security escalation threatens the safe, open image the cultural offer depends on</w:t>
      </w:r>
    </w:p>
    <w:p>
      <w:r>
        <w:rPr>
          <w:sz w:val="24"/>
        </w:rPr>
        <w:t>The Houthi naval blockade and the wider Iran war are the dominant Saudi-related stories in the cycle, and they carry direct implications for perceptions of safety, shipping and travel to the Kingdom. Left unaddressed, that backdrop can bleed into how international audiences read otherwise unrelated cultural investment, festivals and heritage tourism.</w:t>
      </w:r>
    </w:p>
    <w:p>
      <w:pPr>
        <w:spacing w:after="60"/>
      </w:pPr>
      <w:r>
        <w:rPr>
          <w:b/>
          <w:sz w:val="24"/>
        </w:rPr>
        <w:t xml:space="preserve">Source: </w:t>
      </w:r>
      <w:hyperlink r:id="rId11">
        <w:r>
          <w:rPr>
            <w:color w:val="0563C1"/>
            <w:u w:val="single"/>
            <w:rFonts w:ascii="Aptos" w:hAnsi="Aptos"/>
          </w:rPr>
          <w:t xml:space="preserve">Reuters</w:t>
        </w:r>
      </w:hyperlink>
    </w:p>
    <w:p>
      <w:r>
        <w:rPr>
          <w:b/>
          <w:sz w:val="24"/>
        </w:rPr>
        <w:t xml:space="preserve">Consideration: </w:t>
      </w:r>
      <w:r>
        <w:rPr>
          <w:sz w:val="24"/>
        </w:rPr>
        <w:t>Keep cultural-sector communications visibly distinct from the security narrative, foregrounding credible delivery, public access, Saudi talent and the professionalism of institutions rather than engaging the geopolitical story directly.</w:t>
      </w:r>
    </w:p>
    <w:p>
      <w:r>
        <w:rPr>
          <w:b/>
          <w:color w:val="000000"/>
          <w:sz w:val="24"/>
        </w:rPr>
        <w:t>2. A fracturing "Gulf bloc" narrative raises the bar for a distinct Saudi cultural proposition</w:t>
      </w:r>
    </w:p>
    <w:p>
      <w:r>
        <w:rPr>
          <w:sz w:val="24"/>
        </w:rPr>
        <w:t>Bloomberg's analysis of the Saudi-UAE rift argues that global finance can no longer treat the Gulf as a single wallet, which cuts both ways for the Kingdom: it can tell its story on its own terms, but weakly differentiated messaging will no longer be carried along by a generic regional growth halo.</w:t>
      </w:r>
    </w:p>
    <w:p>
      <w:pPr>
        <w:spacing w:after="60"/>
      </w:pPr>
      <w:r>
        <w:rPr>
          <w:b/>
          <w:sz w:val="24"/>
        </w:rPr>
        <w:t xml:space="preserve">Source: </w:t>
      </w:r>
      <w:hyperlink r:id="rId9">
        <w:r>
          <w:rPr>
            <w:color w:val="0563C1"/>
            <w:u w:val="single"/>
            <w:rFonts w:ascii="Aptos" w:hAnsi="Aptos"/>
          </w:rPr>
          <w:t xml:space="preserve">Bloomberg</w:t>
        </w:r>
      </w:hyperlink>
    </w:p>
    <w:p>
      <w:r>
        <w:rPr>
          <w:b/>
          <w:sz w:val="24"/>
        </w:rPr>
        <w:t xml:space="preserve">Consideration: </w:t>
      </w:r>
      <w:r>
        <w:rPr>
          <w:sz w:val="24"/>
        </w:rPr>
        <w:t>Sharpen a clearly Saudi cultural-investment proposition built on heritage stewardship, talent pipelines and institution-building, so the sector is legible on its own merits rather than as part of an undifferentiated regional story.</w:t>
      </w:r>
    </w:p>
    <w:p>
      <w:pPr>
        <w:spacing w:before="80" w:after="20"/>
      </w:pPr>
      <w:r>
        <w:rPr>
          <w:b/>
          <w:color w:val="A66500"/>
          <w:sz w:val="24"/>
        </w:rPr>
        <w:t>Opportunities</w:t>
      </w:r>
    </w:p>
    <w:p>
      <w:r>
        <w:rPr>
          <w:b/>
          <w:color w:val="000000"/>
          <w:sz w:val="24"/>
        </w:rPr>
        <w:t>1. Connectivity build-out underpins the inbound cultural-visitor economy</w:t>
      </w:r>
    </w:p>
    <w:p>
      <w:r>
        <w:rPr>
          <w:sz w:val="24"/>
        </w:rPr>
        <w:t>Riyadh Air's wide-body fleet expansion adds long-haul capacity that feeds directly into demand for heritage sites, festivals and museums, linking a Vision 2030 aviation milestone to the cultural-tourism goals the Ministry is pursuing.</w:t>
      </w:r>
    </w:p>
    <w:p>
      <w:pPr>
        <w:spacing w:after="60"/>
      </w:pPr>
      <w:r>
        <w:rPr>
          <w:b/>
          <w:sz w:val="24"/>
        </w:rPr>
        <w:t xml:space="preserve">Source: </w:t>
      </w:r>
      <w:hyperlink r:id="rId10">
        <w:r>
          <w:rPr>
            <w:color w:val="0563C1"/>
            <w:u w:val="single"/>
            <w:rFonts w:ascii="Aptos" w:hAnsi="Aptos"/>
          </w:rPr>
          <w:t xml:space="preserve">CNBC</w:t>
        </w:r>
      </w:hyperlink>
    </w:p>
    <w:p>
      <w:r>
        <w:rPr>
          <w:b/>
          <w:sz w:val="24"/>
        </w:rPr>
        <w:t xml:space="preserve">Consideration: </w:t>
      </w:r>
      <w:r>
        <w:rPr>
          <w:sz w:val="24"/>
        </w:rPr>
        <w:t>Connect aviation and connectivity milestones explicitly to the cultural calendar, positioning culture as a primary demand driver for new routes rather than treating the two as separate announcements.</w:t>
      </w:r>
    </w:p>
    <w:p>
      <w:r>
        <w:rPr>
          <w:b/>
          <w:color w:val="000000"/>
          <w:sz w:val="24"/>
        </w:rPr>
        <w:t>2. The World Heritage visitor multiplier reinforces the case for Saudi heritage stewardship</w:t>
      </w:r>
    </w:p>
    <w:p>
      <w:r>
        <w:rPr>
          <w:sz w:val="24"/>
        </w:rPr>
        <w:t>The Okefenokee coverage quantifies how UNESCO status can nearly double a site's annual visitors over a decade, an external and evidence-based version of the argument the Kingdom already makes for AlUla, Hegra, Diriyah and Al-Faw.</w:t>
      </w:r>
    </w:p>
    <w:p>
      <w:pPr>
        <w:spacing w:after="60"/>
      </w:pPr>
      <w:r>
        <w:rPr>
          <w:b/>
          <w:sz w:val="24"/>
        </w:rPr>
        <w:t xml:space="preserve">Source: </w:t>
      </w:r>
      <w:hyperlink r:id="rId14">
        <w:r>
          <w:rPr>
            <w:color w:val="0563C1"/>
            <w:u w:val="single"/>
            <w:rFonts w:ascii="Aptos" w:hAnsi="Aptos"/>
          </w:rPr>
          <w:t xml:space="preserve">The Atlanta Journal-Constitution</w:t>
        </w:r>
      </w:hyperlink>
    </w:p>
    <w:p>
      <w:r>
        <w:rPr>
          <w:b/>
          <w:sz w:val="24"/>
        </w:rPr>
        <w:t xml:space="preserve">Consideration: </w:t>
      </w:r>
      <w:r>
        <w:rPr>
          <w:sz w:val="24"/>
        </w:rPr>
        <w:t>Use independent World Heritage economic evidence to knit individual Saudi site stories into one national heritage-and-visitor narrative, rather than announcing each inscription or milestone in isolation.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loomberg.com/opinion/articles/2026-07-20/what-wall-street-never-understood-about-gulf-investors" TargetMode="External"/><Relationship Id="rId10" Type="http://schemas.openxmlformats.org/officeDocument/2006/relationships/hyperlink" Target="https://www.cnbc.com/video/2026/07/20/ceo-of-new-airline-riyadh-air-on-the-state-of-the-aviation-market.html" TargetMode="External"/><Relationship Id="rId11" Type="http://schemas.openxmlformats.org/officeDocument/2006/relationships/hyperlink" Target="https://www.reuters.com/world/middle-east/yemens-houthis-declare-naval-blockade-against-saudi-arabia-statement-2026-07-20/" TargetMode="External"/><Relationship Id="rId12" Type="http://schemas.openxmlformats.org/officeDocument/2006/relationships/hyperlink" Target="https://www.theartnewspaper.com/2026/07/20/as-andy-burnham-becomes-the-new-uk-prime-minister-here-are-five-key-challenges-facing-his-culture-ministry" TargetMode="External"/><Relationship Id="rId13" Type="http://schemas.openxmlformats.org/officeDocument/2006/relationships/hyperlink" Target="https://www.theartnewspaper.com/2026/07/20/union-threatens-strike-action-over-working-conditions-in-venice-museums-due-to-extreme-temperatures" TargetMode="External"/><Relationship Id="rId14" Type="http://schemas.openxmlformats.org/officeDocument/2006/relationships/hyperlink" Target="https://www.ajc.com/business/2026/07/what-world-heritage-honor-will-and-wont-mean-for-georgias-okefenokee-swam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