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29 July 2026</w:t>
      </w:r>
    </w:p>
    <w:p>
      <w:pPr>
        <w:pStyle w:val="NoSpacing"/>
      </w:pPr>
    </w:p>
    <w:p>
      <w:pPr>
        <w:pStyle w:val="NoSpacing"/>
      </w:pPr>
      <w:r>
        <w:rPr>
          <w:b/>
          <w:color w:val="4A86E8"/>
        </w:rPr>
        <w:t>Saudi Arabia/Regional</w:t>
      </w:r>
    </w:p>
    <w:p>
      <w:pPr>
        <w:pStyle w:val="ListBullet"/>
      </w:pPr>
      <w:r>
        <w:t>US thwarts an Iranian missile attack and launches strikes with Saudi Arabia against militias in Iraq</w:t>
      </w:r>
    </w:p>
    <w:p>
      <w:pPr>
        <w:pStyle w:val="ListBullet"/>
      </w:pPr>
      <w:r>
        <w:t>Houthis Claim Strike on Another Saudi Oil Tanker</w:t>
      </w:r>
    </w:p>
    <w:p>
      <w:pPr>
        <w:pStyle w:val="ListBullet"/>
      </w:pPr>
      <w:r>
        <w:t>US says it intercepted 'surprise' Iran missile attack on its forces in Middle East after lull in fighting</w:t>
      </w:r>
    </w:p>
    <w:p>
      <w:pPr>
        <w:pStyle w:val="ListBullet"/>
      </w:pPr>
      <w:r>
        <w:t>Will Pakistan intervene amid Houthi attacks on Saudi ships?</w:t>
      </w:r>
    </w:p>
    <w:p>
      <w:pPr>
        <w:pStyle w:val="ListBullet"/>
      </w:pPr>
      <w:r>
        <w:t>Guggenheim Abu Dhabi announces opening date</w:t>
      </w:r>
    </w:p>
    <w:p>
      <w:pPr>
        <w:pStyle w:val="NoSpacing"/>
      </w:pPr>
    </w:p>
    <w:p>
      <w:pPr>
        <w:pStyle w:val="NoSpacing"/>
      </w:pPr>
      <w:r>
        <w:rPr>
          <w:b/>
          <w:color w:val="EE0000"/>
        </w:rPr>
        <w:t>Negative Articles</w:t>
      </w:r>
    </w:p>
    <w:p>
      <w:pPr>
        <w:pStyle w:val="ListBullet"/>
      </w:pPr>
      <w:r>
        <w:t>Iraqi paramilitary force condemns Saudi-US attacks on headquarters</w:t>
      </w:r>
    </w:p>
    <w:p>
      <w:pPr>
        <w:pStyle w:val="ListBullet"/>
      </w:pPr>
      <w:r>
        <w:t>Saudi Arabia: New Executions of Ethiopian Migrants</w:t>
      </w:r>
    </w:p>
    <w:p>
      <w:pPr>
        <w:pStyle w:val="NoSpacing"/>
      </w:pPr>
    </w:p>
    <w:p>
      <w:pPr>
        <w:pStyle w:val="NoSpacing"/>
      </w:pPr>
      <w:r>
        <w:rPr>
          <w:b/>
          <w:color w:val="4A86E8"/>
        </w:rPr>
        <w:t>Global</w:t>
      </w:r>
    </w:p>
    <w:p>
      <w:pPr>
        <w:pStyle w:val="ListBullet"/>
      </w:pPr>
      <w:r>
        <w:t>Culture minister Catherine Pégard reveals 'national security plan' following another major museum theft in France</w:t>
      </w:r>
    </w:p>
    <w:p>
      <w:pPr>
        <w:pStyle w:val="ListBullet"/>
      </w:pPr>
      <w:r>
        <w:t>Archaeologists map buried sacred precinct of the Aztec capital – Tenochtitlan</w:t>
      </w:r>
    </w:p>
    <w:p>
      <w:pPr>
        <w:pStyle w:val="ListBullet"/>
      </w:pPr>
      <w:r>
        <w:t>The Philadelphia Museum of Art ran a $10m deficit this past fiscal year</w:t>
      </w:r>
    </w:p>
    <w:p>
      <w:pPr>
        <w:pStyle w:val="ListBullet"/>
      </w:pPr>
      <w:r>
        <w:t>Shenzhen Natural History museum opens in China</w:t>
      </w:r>
    </w:p>
    <w:p>
      <w:pPr>
        <w:pStyle w:val="ListBullet"/>
      </w:pPr>
      <w:r>
        <w:t>New Mike Leigh, Pablo Larrain Films in San Sebastian Competition</w:t>
      </w:r>
    </w:p>
    <w:p>
      <w:pPr>
        <w:pStyle w:val="ListBullet"/>
      </w:pPr>
      <w:r>
        <w:t>Penske Media Sued by Hollywood Foreign Press Over Golden Globes Buy</w:t>
      </w:r>
    </w:p>
    <w:p>
      <w:pPr>
        <w:pStyle w:val="ListBullet"/>
      </w:pPr>
      <w:r>
        <w:t>MoMA to host chess matches in honour of Marcel Duchamp</w:t>
      </w:r>
    </w:p>
    <w:p>
      <w:pPr>
        <w:pStyle w:val="ListBullet"/>
      </w:pPr>
      <w:r>
        <w:t>2026 Booker Prize Longlist Announced</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and US fighter aircraft struck Iran-backed militia logistics and weapons sites across eastern Iraq on 28 July, in what Riyadh's defence ministry framed as a proportionate response to more than 30 IRGC-directed drone attacks on Saudi energy facilities over 72 hours — the first time the Kingdom has acknowledged conducting strikes inside Iraq since the war began. The move marks a shift from a largely defensive posture to direct offensive action and draws Saudi Arabia further into a widening regional conflict, at a moment when the Ministry is working to keep its cultural and tourism story to the fore. (</w:t>
      </w:r>
      <w:hyperlink r:id="rId9">
        <w:r>
          <w:rPr>
            <w:color w:val="0000FF"/>
            <w:u w:val="single"/>
            <w:rFonts w:ascii="Times New Roman" w:hAnsi="Times New Roman"/>
          </w:rPr>
          <w:t xml:space="preserve">Associated Press</w:t>
        </w:r>
      </w:hyperlink>
      <w:r>
        <w:rPr>
          <w:b w:val="0"/>
        </w:rPr>
        <w:t>)</w:t>
      </w:r>
    </w:p>
    <w:p>
      <w:pPr>
        <w:pStyle w:val="ListBullet"/>
      </w:pPr>
      <w:r>
        <w:rPr>
          <w:b w:val="0"/>
        </w:rPr>
        <w:t>The Iran-aligned Houthis said they had struck another Saudi oil tanker, the NCC Ghazal, in the Red Sea — at least the fourth vessel targeted since the group declared a blockade on the Kingdom — while Saudi Arabia said it had destroyed further Iran-directed drones aimed at its oil facilities for a second consecutive day. The persistence of the maritime campaign keeps the Kingdom's energy exposure, and the Red Sea coastline it is developing for cultural and leisure tourism, squarely in the international news cycle. (</w:t>
      </w:r>
      <w:hyperlink r:id="rId10">
        <w:r>
          <w:rPr>
            <w:color w:val="0000FF"/>
            <w:u w:val="single"/>
            <w:rFonts w:ascii="Times New Roman" w:hAnsi="Times New Roman"/>
          </w:rPr>
          <w:t xml:space="preserve">The New York Times</w:t>
        </w:r>
      </w:hyperlink>
      <w:r>
        <w:rPr>
          <w:b w:val="0"/>
        </w:rPr>
        <w:t>)</w:t>
      </w:r>
    </w:p>
    <w:p>
      <w:pPr>
        <w:pStyle w:val="ListBullet"/>
      </w:pPr>
      <w:r>
        <w:rPr>
          <w:b w:val="0"/>
        </w:rPr>
        <w:t>US Central Command said it had intercepted a 'surprise' salvo of Iranian ballistic missiles fired at American forces in the region late on 28 July, shattering a brief pause in fighting as mediators sought to revive ceasefire talks over the Strait of Hormuz. Although aimed at US forces rather than the Kingdom, the renewed escalation sustains the volatile security backdrop against which international partners weigh participation in Saudi Arabia's cultural calendar. (</w:t>
      </w:r>
      <w:hyperlink r:id="rId11">
        <w:r>
          <w:rPr>
            <w:color w:val="0000FF"/>
            <w:u w:val="single"/>
            <w:rFonts w:ascii="Times New Roman" w:hAnsi="Times New Roman"/>
          </w:rPr>
          <w:t xml:space="preserve">The Guardian</w:t>
        </w:r>
      </w:hyperlink>
      <w:r>
        <w:rPr>
          <w:b w:val="0"/>
        </w:rPr>
        <w:t>)</w:t>
      </w:r>
    </w:p>
    <w:p>
      <w:pPr>
        <w:pStyle w:val="ListBullet"/>
      </w:pPr>
      <w:r>
        <w:rPr>
          <w:b w:val="0"/>
        </w:rPr>
        <w:t>Pakistan condemned the Houthi attacks on Saudi tankers and warned that any threat to its own Red Sea shipping could be met with the 'lawful use of force', reviving questions over how far Islamabad might go under its mutual-defence pact with Riyadh as the conflict widens. The story is a reminder that the Kingdom's security relationships, not only its own forces, are being drawn into the crisis — context for how durable the stability underpinning its cultural-investment programme will prove. (</w:t>
      </w:r>
      <w:hyperlink r:id="rId12">
        <w:r>
          <w:rPr>
            <w:color w:val="0000FF"/>
            <w:u w:val="single"/>
            <w:rFonts w:ascii="Times New Roman" w:hAnsi="Times New Roman"/>
          </w:rPr>
          <w:t xml:space="preserve">Deutsche Welle</w:t>
        </w:r>
      </w:hyperlink>
      <w:r>
        <w:rPr>
          <w:b w:val="0"/>
        </w:rPr>
        <w:t>)</w:t>
      </w:r>
    </w:p>
    <w:p>
      <w:pPr>
        <w:pStyle w:val="NoSpacing"/>
      </w:pPr>
      <w:r>
        <w:rPr>
          <w:b/>
          <w:color w:val="000000"/>
        </w:rPr>
        <w:t>Museums:</w:t>
      </w:r>
    </w:p>
    <w:p>
      <w:pPr>
        <w:pStyle w:val="ListBullet"/>
      </w:pPr>
      <w:r>
        <w:rPr>
          <w:b w:val="0"/>
        </w:rPr>
        <w:t>Abu Dhabi's Department of Culture and Tourism has set 11 December 2026 as the opening date for the Frank Gehry-designed Guggenheim Abu Dhabi on Saadiyat Island, the largest museum in the Guggenheim network, twenty years after the project was first announced. As a regional benchmark it sharpens the comparison for Saudi Arabia's own flagship-museum pipeline, from SAMoCA at Diriyah's JAX District to the AlUla museums, and for the wider Gulf competition to anchor cultural soft power in permanent institutions. (</w:t>
      </w:r>
      <w:hyperlink r:id="rId13">
        <w:r>
          <w:rPr>
            <w:color w:val="0000FF"/>
            <w:u w:val="single"/>
            <w:rFonts w:ascii="Times New Roman" w:hAnsi="Times New Roman"/>
          </w:rPr>
          <w:t xml:space="preserve">The Art Newspaper</w:t>
        </w:r>
      </w:hyperlink>
      <w:r>
        <w:rPr>
          <w:b w:val="0"/>
        </w:rPr>
        <w:t>)</w:t>
      </w:r>
    </w:p>
    <w:p>
      <w:pPr>
        <w:pStyle w:val="NoSpacing"/>
      </w:pPr>
    </w:p>
    <w:p>
      <w:pPr>
        <w:pStyle w:val="NoSpacing"/>
      </w:pPr>
      <w:r>
        <w:rPr>
          <w:b/>
          <w:color w:val="EE0000"/>
        </w:rPr>
        <w:t>Negative Articles</w:t>
      </w:r>
    </w:p>
    <w:p>
      <w:pPr>
        <w:pStyle w:val="ListBullet"/>
      </w:pPr>
      <w:r>
        <w:rPr>
          <w:b w:val="0"/>
        </w:rPr>
        <w:t>Covering the same US-Saudi strikes reported above, Middle East Eye built its account around Iraq's Popular Mobilisation Forces condemning the operation as a 'highly dangerous escalation' and a violation of Iraqi sovereignty, casting the Kingdom as an external aggressor striking on Iraqi soil rather than a state responding to attacks on its own territory. The outlet's funding is opaque and widely linked to Qatar, so its framing on Gulf security should be read as reflecting those interests; it is noted here as the sharpest adversarial rendering of the day's lead story and the version most likely to travel among audiences already critical of the Kingdom. (</w:t>
      </w:r>
      <w:hyperlink r:id="rId14">
        <w:r>
          <w:rPr>
            <w:color w:val="0000FF"/>
            <w:u w:val="single"/>
            <w:rFonts w:ascii="Times New Roman" w:hAnsi="Times New Roman"/>
          </w:rPr>
          <w:t xml:space="preserve">Middle East Eye</w:t>
        </w:r>
      </w:hyperlink>
      <w:r>
        <w:rPr>
          <w:b w:val="0"/>
        </w:rPr>
        <w:t>)</w:t>
      </w:r>
    </w:p>
    <w:p>
      <w:pPr>
        <w:pStyle w:val="ListBullet"/>
      </w:pPr>
      <w:r>
        <w:rPr>
          <w:b w:val="0"/>
        </w:rPr>
        <w:t>Human Rights Watch said Saudi Arabia had executed five Ethiopian migrants on 27 July for non-violent drug offences after brief hearings held without lawyers or interpreters, part of a sharp rise in executions the organisation says has reached 116 so far in 2026. The report revives international scrutiny of the Kingdom's use of the death penalty — a reputational strand the Ministry's cultural messaging generally seeks to keep separate, but one that can colour how international cultural partners read the wider environment. (</w:t>
      </w:r>
      <w:hyperlink r:id="rId15">
        <w:r>
          <w:rPr>
            <w:color w:val="0000FF"/>
            <w:u w:val="single"/>
            <w:rFonts w:ascii="Times New Roman" w:hAnsi="Times New Roman"/>
          </w:rPr>
          <w:t xml:space="preserve">Human Rights Watch</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France's culture minister, Catherine Pégard, unveiled a €30m, three-year 'national security plan' with 33 measures to protect museum collections, nine months after the theft of the French crown jewels from the Louvre and following a fresh spate of raids on regional museums. Covering audits, staff training and collection protection, it is a working reference for the Kingdom's Heritage and Museums Commissions as their own estate and international loan programmes expand and collections-security risk rises. (</w:t>
      </w:r>
      <w:hyperlink r:id="rId16">
        <w:r>
          <w:rPr>
            <w:color w:val="0000FF"/>
            <w:u w:val="single"/>
            <w:rFonts w:ascii="Times New Roman" w:hAnsi="Times New Roman"/>
          </w:rPr>
          <w:t xml:space="preserve">The Art Newspaper</w:t>
        </w:r>
      </w:hyperlink>
      <w:r>
        <w:rPr>
          <w:b w:val="0"/>
        </w:rPr>
        <w:t>)</w:t>
      </w:r>
    </w:p>
    <w:p>
      <w:pPr>
        <w:pStyle w:val="ListBullet"/>
      </w:pPr>
      <w:r>
        <w:rPr>
          <w:b w:val="0"/>
        </w:rPr>
        <w:t>Archaeologists with Mexico's INAH have used altimetric survey techniques to map the buried sacred precinct of the Aztec capital, Tenochtitlan, beneath modern Mexico City, reconstructing a ceremonial complex without excavation. The non-invasive method is directly transferable to documenting and interpreting heritage that lies beneath living Saudi cities, and adds to the steady global appetite for discovery-led heritage storytelling that the Kingdom's own programmes at AlUla, Dadan and Al-Faw are well placed to supply. (</w:t>
      </w:r>
      <w:hyperlink r:id="rId17">
        <w:r>
          <w:rPr>
            <w:color w:val="0000FF"/>
            <w:u w:val="single"/>
            <w:rFonts w:ascii="Times New Roman" w:hAnsi="Times New Roman"/>
          </w:rPr>
          <w:t xml:space="preserve">HeritageDaily</w:t>
        </w:r>
      </w:hyperlink>
      <w:r>
        <w:rPr>
          <w:b w:val="0"/>
        </w:rPr>
        <w:t>)</w:t>
      </w:r>
    </w:p>
    <w:p>
      <w:pPr>
        <w:pStyle w:val="NoSpacing"/>
      </w:pPr>
      <w:r>
        <w:rPr>
          <w:b/>
          <w:color w:val="000000"/>
        </w:rPr>
        <w:t>Museums:</w:t>
      </w:r>
    </w:p>
    <w:p>
      <w:pPr>
        <w:pStyle w:val="ListBullet"/>
      </w:pPr>
      <w:r>
        <w:rPr>
          <w:b w:val="0"/>
        </w:rPr>
        <w:t>The Philadelphia Museum of Art ran a deficit of around $10m in its last financial year, drawing on reserves as costs outpaced income, with projections the shortfall could widen further. The case is a cautionary reference on the financial sustainability of large, publicly engaged cultural institutions — pertinent as Saudi Arabia stands up and staffs a growing portfolio of major museums carrying long-term operating commitments. (</w:t>
      </w:r>
      <w:hyperlink r:id="rId18">
        <w:r>
          <w:rPr>
            <w:color w:val="0000FF"/>
            <w:u w:val="single"/>
            <w:rFonts w:ascii="Times New Roman" w:hAnsi="Times New Roman"/>
          </w:rPr>
          <w:t xml:space="preserve">ARTnews</w:t>
        </w:r>
      </w:hyperlink>
      <w:r>
        <w:rPr>
          <w:b w:val="0"/>
        </w:rPr>
        <w:t>)</w:t>
      </w:r>
    </w:p>
    <w:p>
      <w:pPr>
        <w:pStyle w:val="NoSpacing"/>
      </w:pPr>
      <w:r>
        <w:rPr>
          <w:b/>
          <w:color w:val="000000"/>
        </w:rPr>
        <w:t>Architecture and Design:</w:t>
      </w:r>
    </w:p>
    <w:p>
      <w:pPr>
        <w:pStyle w:val="ListBullet"/>
      </w:pPr>
      <w:r>
        <w:rPr>
          <w:b w:val="0"/>
        </w:rPr>
        <w:t>The Shenzhen Natural History Museum has opened in southern China, a 105,000-square-metre building by 3XN, B+H and Zhubo that ranks among the country's largest, its flowing form conceived as a piece of public landscape. The scale and design ambition offer a reference point for Saudi Arabia's own science- and natural-history-museum plans as it builds experiential institutions intended to draw repeat family audiences. (</w:t>
      </w:r>
      <w:hyperlink r:id="rId19">
        <w:r>
          <w:rPr>
            <w:color w:val="0000FF"/>
            <w:u w:val="single"/>
            <w:rFonts w:ascii="Times New Roman" w:hAnsi="Times New Roman"/>
          </w:rPr>
          <w:t xml:space="preserve">Blooloop</w:t>
        </w:r>
      </w:hyperlink>
      <w:r>
        <w:rPr>
          <w:b w:val="0"/>
        </w:rPr>
        <w:t>)</w:t>
      </w:r>
    </w:p>
    <w:p>
      <w:pPr>
        <w:pStyle w:val="NoSpacing"/>
      </w:pPr>
      <w:r>
        <w:rPr>
          <w:b/>
          <w:color w:val="000000"/>
        </w:rPr>
        <w:t>Visual Arts:</w:t>
      </w:r>
    </w:p>
    <w:p>
      <w:pPr>
        <w:pStyle w:val="ListBullet"/>
      </w:pPr>
      <w:r>
        <w:rPr>
          <w:b w:val="0"/>
        </w:rPr>
        <w:t>New York's Museum of Modern Art staged a live programme in honour of Marcel Duchamp, pitting grandmaster Susan Polgar against dozens of art-world players in simultaneous chess, tied to the artist's lifelong devotion to the game. The event is a neat model of participatory, experiential museum programming that turns a collection into live public engagement — an approach Saudi museums are increasingly pursuing to deepen visitor connection. (</w:t>
      </w:r>
      <w:hyperlink r:id="rId20">
        <w:r>
          <w:rPr>
            <w:color w:val="0000FF"/>
            <w:u w:val="single"/>
            <w:rFonts w:ascii="Times New Roman" w:hAnsi="Times New Roman"/>
          </w:rPr>
          <w:t xml:space="preserve">Artsy</w:t>
        </w:r>
      </w:hyperlink>
      <w:r>
        <w:rPr>
          <w:b w:val="0"/>
        </w:rPr>
        <w:t>)</w:t>
      </w:r>
    </w:p>
    <w:p>
      <w:pPr>
        <w:pStyle w:val="NoSpacing"/>
      </w:pPr>
      <w:r>
        <w:rPr>
          <w:b/>
          <w:color w:val="000000"/>
        </w:rPr>
        <w:t>Film:</w:t>
      </w:r>
    </w:p>
    <w:p>
      <w:pPr>
        <w:pStyle w:val="ListBullet"/>
      </w:pPr>
      <w:r>
        <w:rPr>
          <w:b w:val="0"/>
        </w:rPr>
        <w:t>The San Sebastian Film Festival added new titles to its 2026 Golden Shell competition, including work from Mike Leigh, Pablo Larraín, Nicole Garcia and Hans Petter Moland, ahead of its 74th edition in September. The festival's programming choices are a benchmark for the international launch circuit that Saudi Arabia's own film sector — the Red Sea International Film Festival, Film AlUla and its production incentives — is working to join. (</w:t>
      </w:r>
      <w:hyperlink r:id="rId21">
        <w:r>
          <w:rPr>
            <w:color w:val="0000FF"/>
            <w:u w:val="single"/>
            <w:rFonts w:ascii="Times New Roman" w:hAnsi="Times New Roman"/>
          </w:rPr>
          <w:t xml:space="preserve">The Hollywood Reporter</w:t>
        </w:r>
      </w:hyperlink>
      <w:r>
        <w:rPr>
          <w:b w:val="0"/>
        </w:rPr>
        <w:t>)</w:t>
      </w:r>
    </w:p>
    <w:p>
      <w:pPr>
        <w:pStyle w:val="ListBullet"/>
      </w:pPr>
      <w:r>
        <w:rPr>
          <w:b w:val="0"/>
        </w:rPr>
        <w:t>The Hollywood Foreign Press Association has sued Penske Media over the sale of the Golden Globes, alleging a roughly $150m 'sham' transaction that entrenched a monopoly over one of cinema's best-known awards. The dispute over the ownership and governance of a major cultural-awards brand is instructive for any emerging cultural-awards ecosystem weighing how to structure and safeguard its own prizes. (</w:t>
      </w:r>
      <w:hyperlink r:id="rId22">
        <w:r>
          <w:rPr>
            <w:color w:val="0000FF"/>
            <w:u w:val="single"/>
            <w:rFonts w:ascii="Times New Roman" w:hAnsi="Times New Roman"/>
          </w:rPr>
          <w:t xml:space="preserve">The Hollywood Reporter</w:t>
        </w:r>
      </w:hyperlink>
      <w:r>
        <w:rPr>
          <w:b w:val="0"/>
        </w:rPr>
        <w:t>)</w:t>
      </w:r>
    </w:p>
    <w:p>
      <w:pPr>
        <w:pStyle w:val="NoSpacing"/>
      </w:pPr>
      <w:r>
        <w:rPr>
          <w:b/>
          <w:color w:val="000000"/>
        </w:rPr>
        <w:t>Literature, Publishing, and Translation:</w:t>
      </w:r>
    </w:p>
    <w:p>
      <w:pPr>
        <w:pStyle w:val="ListBullet"/>
      </w:pPr>
      <w:r>
        <w:rPr>
          <w:b w:val="0"/>
        </w:rPr>
        <w:t>The 2026 Booker Prize revealed its 13-title longlist, the 'Booker Dozen', ahead of the shortlist in September and the winner announcement on 9 November. The prize's staged architecture — a longlist-to-winner reveal that sustains months of international attention — is a useful model for Saudi Arabia's own literary-prize and translation initiatives as the Literature, Publishing and Translation Commission works to raise the global visibility of Saudi authorship. (</w:t>
      </w:r>
      <w:hyperlink r:id="rId23">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The Kingdom's first acknowledged strikes inside Iraq deepen its direct role in a widening war</w:t>
      </w:r>
    </w:p>
    <w:p>
      <w:pPr>
        <w:pStyle w:val="NoSpacing"/>
      </w:pPr>
      <w:r>
        <w:t>Saudi Arabia moved from defending against Iran-backed drone and missile attacks to conducting joint strikes with the United States on militia targets in Iraq, even as the Houthis pressed their Red Sea tanker campaign and Iran fired a fresh ballistic-missile salvo at US forces. Unlike earlier in the week, when the Kingdom was largely the target of attacks, it is now an acknowledged participant in offensive action — an escalation that intensifies, rather than eases, the security backdrop against which international artists, lenders and audiences weigh participation in Saudi cultural programming.</w:t>
      </w:r>
    </w:p>
    <w:p>
      <w:pPr>
        <w:pStyle w:val="NoSpacing"/>
      </w:pPr>
      <w:r>
        <w:rPr>
          <w:b/>
        </w:rPr>
        <w:t xml:space="preserve">Source: </w:t>
      </w:r>
      <w:hyperlink r:id="rId9">
        <w:r>
          <w:rPr>
            <w:color w:val="0000FF"/>
            <w:u w:val="single"/>
            <w:rFonts w:ascii="Times New Roman" w:hAnsi="Times New Roman"/>
          </w:rPr>
          <w:t xml:space="preserve">Associated Press</w:t>
        </w:r>
      </w:hyperlink>
      <w:r>
        <w:rPr>
          <w:b w:val="0"/>
        </w:rPr>
        <w:t xml:space="preserve">, </w:t>
      </w:r>
      <w:hyperlink r:id="rId10">
        <w:r>
          <w:rPr>
            <w:color w:val="0000FF"/>
            <w:u w:val="single"/>
            <w:rFonts w:ascii="Times New Roman" w:hAnsi="Times New Roman"/>
          </w:rPr>
          <w:t xml:space="preserve">The New York Times</w:t>
        </w:r>
      </w:hyperlink>
      <w:r>
        <w:rPr>
          <w:b w:val="0"/>
        </w:rPr>
        <w:t xml:space="preserve">, </w:t>
      </w:r>
      <w:hyperlink r:id="rId11">
        <w:r>
          <w:rPr>
            <w:color w:val="0000FF"/>
            <w:u w:val="single"/>
            <w:rFonts w:ascii="Times New Roman" w:hAnsi="Times New Roman"/>
          </w:rPr>
          <w:t xml:space="preserve">The Guardian</w:t>
        </w:r>
      </w:hyperlink>
    </w:p>
    <w:p>
      <w:pPr>
        <w:pStyle w:val="NoSpacing"/>
      </w:pPr>
      <w:r>
        <w:rPr>
          <w:b/>
        </w:rPr>
        <w:t xml:space="preserve">Consideration: </w:t>
      </w:r>
      <w:r>
        <w:t>Keep the Ministry's cultural communications visibly distinct from the security and energy narrative, foregrounding credible delivery, public access, Saudi talent and heritage stewardship rather than engaging the conflict framing directly — continuing the posture held across recent editions, even as the Kingdom's own role in the conflict has shifted.</w:t>
      </w:r>
    </w:p>
    <w:p>
      <w:pPr>
        <w:pStyle w:val="NoSpacing"/>
      </w:pPr>
    </w:p>
    <w:p>
      <w:pPr>
        <w:pStyle w:val="NoSpacing"/>
      </w:pPr>
      <w:r>
        <w:rPr>
          <w:b/>
          <w:color w:val="000000"/>
        </w:rPr>
        <w:t>2. Adversarial framing and human-rights scrutiny sharpen as the Kingdom goes on the offensive</w:t>
      </w:r>
    </w:p>
    <w:p>
      <w:pPr>
        <w:pStyle w:val="NoSpacing"/>
      </w:pPr>
      <w:r>
        <w:t>As Saudi Arabia struck inside Iraq, Qatar-linked Middle East Eye amplified the Iraqi Popular Mobilisation Forces' charge that the operation violated Iraqi sovereignty, casting the Kingdom as the aggressor; separately, Human Rights Watch reported a fresh set of executions of Ethiopian migrants, reviving death-penalty criticism. Both are reputational strands that travel readily and can attach to the Kingdom's cultural initiatives if the cultural story is not kept clearly on its own footing.</w:t>
      </w:r>
    </w:p>
    <w:p>
      <w:pPr>
        <w:pStyle w:val="NoSpacing"/>
      </w:pPr>
      <w:r>
        <w:rPr>
          <w:b/>
        </w:rPr>
        <w:t xml:space="preserve">Source: </w:t>
      </w:r>
      <w:hyperlink r:id="rId14">
        <w:r>
          <w:rPr>
            <w:color w:val="0000FF"/>
            <w:u w:val="single"/>
            <w:rFonts w:ascii="Times New Roman" w:hAnsi="Times New Roman"/>
          </w:rPr>
          <w:t xml:space="preserve">Middle East Eye</w:t>
        </w:r>
      </w:hyperlink>
      <w:r>
        <w:rPr>
          <w:b w:val="0"/>
        </w:rPr>
        <w:t xml:space="preserve">, </w:t>
      </w:r>
      <w:hyperlink r:id="rId15">
        <w:r>
          <w:rPr>
            <w:color w:val="0000FF"/>
            <w:u w:val="single"/>
            <w:rFonts w:ascii="Times New Roman" w:hAnsi="Times New Roman"/>
          </w:rPr>
          <w:t xml:space="preserve">Human Rights Watch</w:t>
        </w:r>
      </w:hyperlink>
    </w:p>
    <w:p>
      <w:pPr>
        <w:pStyle w:val="NoSpacing"/>
      </w:pPr>
      <w:r>
        <w:rPr>
          <w:b/>
        </w:rPr>
        <w:t xml:space="preserve">Consideration: </w:t>
      </w:r>
      <w:r>
        <w:t>Anchor cultural communications in credible delivery, Saudi talent and genuine cultural exchange rather than reputation management, and avoid positioning cultural programming as a response to the security or rights narrative — consistent with the approach taken to comparable adversarial framing in recent editions.</w:t>
      </w:r>
    </w:p>
    <w:p>
      <w:pPr>
        <w:pStyle w:val="NoSpacing"/>
      </w:pPr>
    </w:p>
    <w:p>
      <w:pPr>
        <w:pStyle w:val="NoSpacing"/>
      </w:pPr>
      <w:r>
        <w:rPr>
          <w:b/>
          <w:color w:val="A66500"/>
        </w:rPr>
        <w:t>Opportunities</w:t>
      </w:r>
    </w:p>
    <w:p>
      <w:pPr>
        <w:pStyle w:val="NoSpacing"/>
      </w:pPr>
      <w:r>
        <w:rPr>
          <w:b/>
          <w:color w:val="000000"/>
        </w:rPr>
        <w:t>1. Heritage and archaeology remain resilient, largely apolitical soft power</w:t>
      </w:r>
    </w:p>
    <w:p>
      <w:pPr>
        <w:pStyle w:val="NoSpacing"/>
      </w:pPr>
      <w:r>
        <w:t>Even on a war-dominated news day, heritage discovery continued to command international attention, with Mexican archaeologists mapping the buried sacred precinct of Tenochtitlan through non-invasive survey rather than excavation. It is a category of storytelling that sits largely outside geopolitics, and one the Kingdom is particularly well placed to supply from its own sites.</w:t>
      </w:r>
    </w:p>
    <w:p>
      <w:pPr>
        <w:pStyle w:val="NoSpacing"/>
      </w:pPr>
      <w:r>
        <w:rPr>
          <w:b/>
        </w:rPr>
        <w:t xml:space="preserve">Source: </w:t>
      </w:r>
      <w:hyperlink r:id="rId17">
        <w:r>
          <w:rPr>
            <w:color w:val="0000FF"/>
            <w:u w:val="single"/>
            <w:rFonts w:ascii="Times New Roman" w:hAnsi="Times New Roman"/>
          </w:rPr>
          <w:t xml:space="preserve">HeritageDaily</w:t>
        </w:r>
      </w:hyperlink>
    </w:p>
    <w:p>
      <w:pPr>
        <w:pStyle w:val="NoSpacing"/>
      </w:pPr>
      <w:r>
        <w:rPr>
          <w:b/>
        </w:rPr>
        <w:t xml:space="preserve">Consideration: </w:t>
      </w:r>
      <w:r>
        <w:t>Prioritise and amplify Saudi heritage and archaeology storytelling from AlUla, Hegra, Dadan and Al-Faw as a positive counterweight during a tense regional news cycle, connecting individual discoveries into the Kingdom's broader civilisational narrative rather than treating them as isolated announcements, and drawing where useful on the non-invasive documentation methods now being demonstrated internationally.</w:t>
      </w:r>
    </w:p>
    <w:p>
      <w:pPr>
        <w:pStyle w:val="NoSpacing"/>
      </w:pPr>
    </w:p>
    <w:p>
      <w:pPr>
        <w:pStyle w:val="NoSpacing"/>
      </w:pPr>
      <w:r>
        <w:rPr>
          <w:b/>
          <w:color w:val="000000"/>
        </w:rPr>
        <w:t>2. Gulf museum momentum, with global lessons on security and sustainability</w:t>
      </w:r>
    </w:p>
    <w:p>
      <w:pPr>
        <w:pStyle w:val="NoSpacing"/>
      </w:pPr>
      <w:r>
        <w:t>The confirmed 11 December opening of the Guggenheim Abu Dhabi, the debut of a major new museum in Shenzhen and a reported $10m deficit at the Philadelphia Museum of Art together map both the opportunity and the operating risks of large-scale museum-building. For Saudi Arabia, scaling its own museum sector, they point to a live regional benchmark alongside concrete lessons on collections security and long-term financial sustainability.</w:t>
      </w:r>
    </w:p>
    <w:p>
      <w:pPr>
        <w:pStyle w:val="NoSpacing"/>
      </w:pPr>
      <w:r>
        <w:rPr>
          <w:b/>
        </w:rPr>
        <w:t xml:space="preserve">Source: </w:t>
      </w:r>
      <w:hyperlink r:id="rId13">
        <w:r>
          <w:rPr>
            <w:color w:val="0000FF"/>
            <w:u w:val="single"/>
            <w:rFonts w:ascii="Times New Roman" w:hAnsi="Times New Roman"/>
          </w:rPr>
          <w:t xml:space="preserve">The Art Newspaper</w:t>
        </w:r>
      </w:hyperlink>
      <w:r>
        <w:rPr>
          <w:b w:val="0"/>
        </w:rPr>
        <w:t xml:space="preserve">, </w:t>
      </w:r>
      <w:hyperlink r:id="rId19">
        <w:r>
          <w:rPr>
            <w:color w:val="0000FF"/>
            <w:u w:val="single"/>
            <w:rFonts w:ascii="Times New Roman" w:hAnsi="Times New Roman"/>
          </w:rPr>
          <w:t xml:space="preserve">Blooloop</w:t>
        </w:r>
      </w:hyperlink>
      <w:r>
        <w:rPr>
          <w:b w:val="0"/>
        </w:rPr>
        <w:t xml:space="preserve">, </w:t>
      </w:r>
      <w:hyperlink r:id="rId18">
        <w:r>
          <w:rPr>
            <w:color w:val="0000FF"/>
            <w:u w:val="single"/>
            <w:rFonts w:ascii="Times New Roman" w:hAnsi="Times New Roman"/>
          </w:rPr>
          <w:t xml:space="preserve">ARTnews</w:t>
        </w:r>
      </w:hyperlink>
    </w:p>
    <w:p>
      <w:pPr>
        <w:pStyle w:val="NoSpacing"/>
      </w:pPr>
      <w:r>
        <w:rPr>
          <w:b/>
        </w:rPr>
        <w:t xml:space="preserve">Consideration: </w:t>
      </w:r>
      <w:r>
        <w:t>Position the Kingdom's flagship-museum pipeline — SAMoCA and the JAX District, the AlUla museums and the national museum network — within this global museum-development conversation, while adopting emerging best practice on collections security and financial sustainability so new institutions are built to endure, not merely to open.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lickorlando.com/news/world/2026/07/28/saudi-arabia-says-it-shot-down-more-drones-as-houthis-claim-to-have-turned-back-tanker/" TargetMode="External"/><Relationship Id="rId10" Type="http://schemas.openxmlformats.org/officeDocument/2006/relationships/hyperlink" Target="https://www.nytimes.com/2026/07/28/world/middleeast/houthis-strike-saudi-tanker.html" TargetMode="External"/><Relationship Id="rId11" Type="http://schemas.openxmlformats.org/officeDocument/2006/relationships/hyperlink" Target="https://www.theguardian.com/world/2026/jul/29/iran-missile-attack-us-base-forces" TargetMode="External"/><Relationship Id="rId12" Type="http://schemas.openxmlformats.org/officeDocument/2006/relationships/hyperlink" Target="https://www.dw.com/en/will-pakistan-intervene-amid-houthi-attacks-on-saudi-ships/a-78144890" TargetMode="External"/><Relationship Id="rId13" Type="http://schemas.openxmlformats.org/officeDocument/2006/relationships/hyperlink" Target="https://www.theartnewspaper.com/2026/07/28/guggenheim-abu-dhabi-announces-opening-date" TargetMode="External"/><Relationship Id="rId14" Type="http://schemas.openxmlformats.org/officeDocument/2006/relationships/hyperlink" Target="https://www.middleeasteye.net/live-blog/live-blog-update/iraqi-paramilitary-force-condemns-saudi-us-attacks-headquarters" TargetMode="External"/><Relationship Id="rId15" Type="http://schemas.openxmlformats.org/officeDocument/2006/relationships/hyperlink" Target="https://www.hrw.org/news/2026/07/28/saudi-arabia-new-executions-of-ethiopian-migrants" TargetMode="External"/><Relationship Id="rId16" Type="http://schemas.openxmlformats.org/officeDocument/2006/relationships/hyperlink" Target="https://www.theartnewspaper.com/2026/07/28/culture-minister-catherine-pegard-reveals-national-security-plan-following-another-major-museum-theft-in-france" TargetMode="External"/><Relationship Id="rId17" Type="http://schemas.openxmlformats.org/officeDocument/2006/relationships/hyperlink" Target="https://www.heritagedaily.com/2026/07/archaeologists-map-buried-sacred-precinct-of-the-aztec-capital-tenochtitlan/158744" TargetMode="External"/><Relationship Id="rId18" Type="http://schemas.openxmlformats.org/officeDocument/2006/relationships/hyperlink" Target="https://www.artnews.com/art-news/news/phildelphia-museum-of-art-ran-a-10-m-deficit-1234793631" TargetMode="External"/><Relationship Id="rId19" Type="http://schemas.openxmlformats.org/officeDocument/2006/relationships/hyperlink" Target="https://blooloop.com/news/shenzhen-natural-history-museum-opens" TargetMode="External"/><Relationship Id="rId20" Type="http://schemas.openxmlformats.org/officeDocument/2006/relationships/hyperlink" Target="https://www.artsy.net/article/artsy-editorial-moma-host-chess-matches-honor-marcel-duchamp" TargetMode="External"/><Relationship Id="rId21" Type="http://schemas.openxmlformats.org/officeDocument/2006/relationships/hyperlink" Target="https://www.hollywoodreporter.com/movies/movie-news/marion-cotillard-mike-leigh-pablo-larrain-in-san-sebastian-1236658023" TargetMode="External"/><Relationship Id="rId22" Type="http://schemas.openxmlformats.org/officeDocument/2006/relationships/hyperlink" Target="https://www.hollywoodreporter.com/business/business-news/penske-media-sued-hollywood-foreign-press-golden-globes-1236658413" TargetMode="External"/><Relationship Id="rId23" Type="http://schemas.openxmlformats.org/officeDocument/2006/relationships/hyperlink" Target="https://www.publishersweekly.com/pw/by-topic/industry-news/awards-and-prizes/article/100927-2026-booker-prize-longlist-announc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