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28 July 2026</w:t>
      </w:r>
    </w:p>
    <w:p>
      <w:pPr>
        <w:pStyle w:val="NoSpacing"/>
      </w:pPr>
    </w:p>
    <w:p>
      <w:pPr>
        <w:pStyle w:val="NoSpacing"/>
      </w:pPr>
      <w:r>
        <w:rPr>
          <w:b/>
          <w:color w:val="4A86E8"/>
        </w:rPr>
        <w:t>Saudi Arabia/Regional</w:t>
      </w:r>
    </w:p>
    <w:p>
      <w:pPr>
        <w:pStyle w:val="ListBullet"/>
      </w:pPr>
      <w:r>
        <w:t>Why drone attack on world's largest oil processing plant in Saudi's Abqaiq poses geopolitical risk</w:t>
      </w:r>
    </w:p>
    <w:p>
      <w:pPr>
        <w:pStyle w:val="ListBullet"/>
      </w:pPr>
      <w:r>
        <w:t>Red Sea shipping slows after Houthi attack on Saudi Arabia, data shows</w:t>
      </w:r>
    </w:p>
    <w:p>
      <w:pPr>
        <w:pStyle w:val="ListBullet"/>
      </w:pPr>
      <w:r>
        <w:t>Yanbu attacks expose Saudi oil export vulnerability</w:t>
      </w:r>
    </w:p>
    <w:p>
      <w:pPr>
        <w:pStyle w:val="ListBullet"/>
      </w:pPr>
      <w:r>
        <w:t>How the Houthis Cornered Saudi Arabia Into a New Battle</w:t>
      </w:r>
    </w:p>
    <w:p>
      <w:pPr>
        <w:pStyle w:val="NoSpacing"/>
      </w:pPr>
    </w:p>
    <w:p>
      <w:pPr>
        <w:pStyle w:val="NoSpacing"/>
      </w:pPr>
      <w:r>
        <w:rPr>
          <w:b/>
          <w:color w:val="EE0000"/>
        </w:rPr>
        <w:t>Negative Articles</w:t>
      </w:r>
    </w:p>
    <w:p>
      <w:pPr>
        <w:pStyle w:val="ListBullet"/>
      </w:pPr>
      <w:r>
        <w:t>Saudi oil loading falls 40% at Red Sea port amid Yemen's reciprocal siege</w:t>
      </w:r>
    </w:p>
    <w:p>
      <w:pPr>
        <w:pStyle w:val="NoSpacing"/>
      </w:pPr>
    </w:p>
    <w:p>
      <w:pPr>
        <w:pStyle w:val="NoSpacing"/>
      </w:pPr>
      <w:r>
        <w:rPr>
          <w:b/>
          <w:color w:val="4A86E8"/>
        </w:rPr>
        <w:t>Global</w:t>
      </w:r>
    </w:p>
    <w:p>
      <w:pPr>
        <w:pStyle w:val="ListBullet"/>
      </w:pPr>
      <w:r>
        <w:t>Unique Medieval 'House on Wheels' from the Kimak Khaganate Unearthed in Kazakhstan</w:t>
      </w:r>
    </w:p>
    <w:p>
      <w:pPr>
        <w:pStyle w:val="ListBullet"/>
      </w:pPr>
      <w:r>
        <w:t>Funerary Complex Unearthed in Northern Egypt</w:t>
      </w:r>
    </w:p>
    <w:p>
      <w:pPr>
        <w:pStyle w:val="ListBullet"/>
      </w:pPr>
      <w:r>
        <w:t>Music, Fashion, Film—Photography? Charli xcx image acquired by London's National Portrait Gallery</w:t>
      </w:r>
    </w:p>
    <w:p>
      <w:pPr>
        <w:pStyle w:val="ListBullet"/>
      </w:pPr>
      <w:r>
        <w:t>Franklin Institute Unveils Immersive 'Star Wars' Exhibition</w:t>
      </w:r>
    </w:p>
    <w:p>
      <w:pPr>
        <w:pStyle w:val="ListBullet"/>
      </w:pPr>
      <w:r>
        <w:t>Betye Saar, Who Opened Portals Between Worlds, Dies at 99</w:t>
      </w:r>
    </w:p>
    <w:p>
      <w:pPr>
        <w:pStyle w:val="ListBullet"/>
      </w:pPr>
      <w:r>
        <w:t>Low Kee Hong chosen to curate Biennale of Sydney's next edition</w:t>
      </w:r>
    </w:p>
    <w:p>
      <w:pPr>
        <w:pStyle w:val="ListBullet"/>
      </w:pPr>
      <w:r>
        <w:t>75 Fashion Deals and Counting for 2026, According to Capstone Fashion Report</w:t>
      </w:r>
    </w:p>
    <w:p>
      <w:pPr>
        <w:pStyle w:val="ListBullet"/>
      </w:pPr>
      <w:r>
        <w:t>From Data to Digital Twins: Japan's PLATEAU Project Offers Open-Access Models of More Than 250 Cities</w:t>
      </w:r>
    </w:p>
    <w:p>
      <w:pPr>
        <w:pStyle w:val="ListBullet"/>
      </w:pPr>
      <w:r>
        <w:t>Atlantic Books acquires story of Keir Starmer's 'unfulfilled premiership'</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A drone strike attributed to Iran-backed forces set off a major fire at Aramco's Abqaiq facility, the world's largest crude-processing and stabilisation plant, which handles between 5 and 7 per cent of global daily oil supply and anchors the East-West pipeline built to bypass the Strait of Hormuz. The strike pushes the Kingdom's most strategically sensitive energy infrastructure to the centre of the widening regional conflict, at a moment when Saudi Arabia is working to foreground its cultural and tourism story rather than its exposure to instability. (</w:t>
      </w:r>
      <w:hyperlink r:id="rId9">
        <w:r>
          <w:rPr>
            <w:color w:val="0000FF"/>
            <w:u w:val="single"/>
            <w:rFonts w:ascii="Times New Roman" w:hAnsi="Times New Roman"/>
          </w:rPr>
          <w:t xml:space="preserve">The Week</w:t>
        </w:r>
      </w:hyperlink>
      <w:r>
        <w:rPr>
          <w:b w:val="0"/>
        </w:rPr>
        <w:t>)</w:t>
      </w:r>
    </w:p>
    <w:p>
      <w:pPr>
        <w:pStyle w:val="ListBullet"/>
      </w:pPr>
      <w:r>
        <w:rPr>
          <w:b w:val="0"/>
        </w:rPr>
        <w:t>Shipping through the Bab el-Mandeb strait fell to its lowest level in months, with only eleven commodity vessels transiting on Sunday after Houthi attacks on Saudi oil installations, sending physical crude prices across the Middle East, Europe and Africa to two-month highs, according to tracking data. The disruption keeps the Kingdom's economic exposure to regional instability firmly in international view, a backdrop the Ministry will want kept clearly separate from its cultural-tourism messaging. (</w:t>
      </w:r>
      <w:hyperlink r:id="rId10">
        <w:r>
          <w:rPr>
            <w:color w:val="0000FF"/>
            <w:u w:val="single"/>
            <w:rFonts w:ascii="Times New Roman" w:hAnsi="Times New Roman"/>
          </w:rPr>
          <w:t xml:space="preserve">Al-Monitor</w:t>
        </w:r>
      </w:hyperlink>
      <w:r>
        <w:rPr>
          <w:b w:val="0"/>
        </w:rPr>
        <w:t>)</w:t>
      </w:r>
    </w:p>
    <w:p>
      <w:pPr>
        <w:pStyle w:val="ListBullet"/>
      </w:pPr>
      <w:r>
        <w:rPr>
          <w:b w:val="0"/>
        </w:rPr>
        <w:t>An analysis argued that the weekend strikes on Saudi Arabia's Yanbu Red Sea terminal and Jazan refinery matter less for their physical damage than for exposing the vulnerability of the Kingdom's principal oil-export outlet, which has become critical as the Strait of Hormuz remains constrained. The framing underscores how quickly a security story can attach to the Kingdom's wider international profile, reinforcing the case for insulating cultural programming from the energy-and-security narrative. (</w:t>
      </w:r>
      <w:hyperlink r:id="rId11">
        <w:r>
          <w:rPr>
            <w:color w:val="0000FF"/>
            <w:u w:val="single"/>
            <w:rFonts w:ascii="Times New Roman" w:hAnsi="Times New Roman"/>
          </w:rPr>
          <w:t xml:space="preserve">AGBI</w:t>
        </w:r>
      </w:hyperlink>
      <w:r>
        <w:rPr>
          <w:b w:val="0"/>
        </w:rPr>
        <w:t>)</w:t>
      </w:r>
    </w:p>
    <w:p>
      <w:pPr>
        <w:pStyle w:val="ListBullet"/>
      </w:pPr>
      <w:r>
        <w:rPr>
          <w:b w:val="0"/>
        </w:rPr>
        <w:t>The New York Times set out how a four-year truce in Yemen unravelled and how, over recent weeks, the Iran-backed Houthis have drawn a reluctant Saudi Arabia towards a conflict that could widen into full-scale war, seizing on a moment when Riyadh is distracted by other crises and wary of another costly campaign. For the Ministry the salient point is reputational: sustained coverage of the Kingdom as a party to regional conflict can crowd out the cultural, heritage and creative-economy story it is working to elevate. (</w:t>
      </w:r>
      <w:hyperlink r:id="rId12">
        <w:r>
          <w:rPr>
            <w:color w:val="0000FF"/>
            <w:u w:val="single"/>
            <w:rFonts w:ascii="Times New Roman" w:hAnsi="Times New Roman"/>
          </w:rPr>
          <w:t xml:space="preserve">The New York Times</w:t>
        </w:r>
      </w:hyperlink>
      <w:r>
        <w:rPr>
          <w:b w:val="0"/>
        </w:rPr>
        <w:t>)</w:t>
      </w:r>
    </w:p>
    <w:p>
      <w:pPr>
        <w:pStyle w:val="NoSpacing"/>
      </w:pPr>
    </w:p>
    <w:p>
      <w:pPr>
        <w:pStyle w:val="NoSpacing"/>
      </w:pPr>
      <w:r>
        <w:rPr>
          <w:b/>
          <w:color w:val="EE0000"/>
        </w:rPr>
        <w:t>Negative Articles</w:t>
      </w:r>
    </w:p>
    <w:p>
      <w:pPr>
        <w:pStyle w:val="ListBullet"/>
      </w:pPr>
      <w:r>
        <w:rPr>
          <w:b w:val="0"/>
        </w:rPr>
        <w:t>Covering the same escalation as the regional-security reporting above, Iran's state broadcaster framed Saudi Arabia as the aggressor, describing Yemen's blockade and strikes on Saudi oil exports — which it said had cut crude loading at Yanbu by 40 per cent — as a "reciprocal siege" in retaliation for the Kingdom's "aggression" and a decade-long war in Yemen. The framing, from an outlet whose read on Gulf security reflects Tehran's interests rather than a neutral account, is the sharpest adversarial rendering of the day's lead story and the version most likely to travel among audiences already critical of the Kingdom. (</w:t>
      </w:r>
      <w:hyperlink r:id="rId13">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north-eastern Kazakhstan have uncovered an exceptionally preserved wooden "house on wheels" from the medieval Kimak-Kipchak period, combining a cart with a yurt-like shelter and offering rare physical evidence of how the nomadic elites of the Eurasian steppe lived and travelled. Finds that render intangible, everyday heritage tangible in this way echo the storytelling the Kingdom pursues around its own nomadic and Bedouin traditions and its traditional-arts programmes. (</w:t>
      </w:r>
      <w:hyperlink r:id="rId14">
        <w:r>
          <w:rPr>
            <w:color w:val="0000FF"/>
            <w:u w:val="single"/>
            <w:rFonts w:ascii="Times New Roman" w:hAnsi="Times New Roman"/>
          </w:rPr>
          <w:t xml:space="preserve">Arkeonews</w:t>
        </w:r>
      </w:hyperlink>
      <w:r>
        <w:rPr>
          <w:b w:val="0"/>
        </w:rPr>
        <w:t>)</w:t>
      </w:r>
    </w:p>
    <w:p>
      <w:pPr>
        <w:pStyle w:val="ListBullet"/>
      </w:pPr>
      <w:r>
        <w:rPr>
          <w:b w:val="0"/>
        </w:rPr>
        <w:t>Egypt's antiquities authority announced the discovery of a funerary complex at the Tell Quesna necropolis, spanning the Late Period and the Greco-Roman era and containing more than 500 ushabti figurines, amulets and imported pottery alongside vaulted burial chambers. The continued international appetite for Egyptian archaeology is a reminder of the reach heritage discovery commands, a positive-coverage category the Kingdom's own excavation programme at AlUla, Dadan and Al-Faw is well placed to supply. (</w:t>
      </w:r>
      <w:hyperlink r:id="rId15">
        <w:r>
          <w:rPr>
            <w:color w:val="0000FF"/>
            <w:u w:val="single"/>
            <w:rFonts w:ascii="Times New Roman" w:hAnsi="Times New Roman"/>
          </w:rPr>
          <w:t xml:space="preserve">Archaeology Magazine</w:t>
        </w:r>
      </w:hyperlink>
      <w:r>
        <w:rPr>
          <w:b w:val="0"/>
        </w:rPr>
        <w:t>)</w:t>
      </w:r>
    </w:p>
    <w:p>
      <w:pPr>
        <w:pStyle w:val="NoSpacing"/>
      </w:pPr>
      <w:r>
        <w:rPr>
          <w:b/>
          <w:color w:val="000000"/>
        </w:rPr>
        <w:t>Museums:</w:t>
      </w:r>
    </w:p>
    <w:p>
      <w:pPr>
        <w:pStyle w:val="ListBullet"/>
      </w:pPr>
      <w:r>
        <w:rPr>
          <w:b w:val="0"/>
        </w:rPr>
        <w:t>London's National Portrait Gallery has acquired a 2024 photographic portrait of the pop musician Charli xcx, shot by Harley Weir, placing a contemporary music figure in its History Makers space through the Bukhman Foundation's Collecting the Now initiative. The acquisition shows how established museums are broadening what counts as national cultural memory to include living popular-culture figures, a question the Kingdom's fast-growing museum sector faces as it defines its own collections. (</w:t>
      </w:r>
      <w:hyperlink r:id="rId16">
        <w:r>
          <w:rPr>
            <w:color w:val="0000FF"/>
            <w:u w:val="single"/>
            <w:rFonts w:ascii="Times New Roman" w:hAnsi="Times New Roman"/>
          </w:rPr>
          <w:t xml:space="preserve">The Art Newspaper</w:t>
        </w:r>
      </w:hyperlink>
      <w:r>
        <w:rPr>
          <w:b w:val="0"/>
        </w:rPr>
        <w:t>)</w:t>
      </w:r>
    </w:p>
    <w:p>
      <w:pPr>
        <w:pStyle w:val="ListBullet"/>
      </w:pPr>
      <w:r>
        <w:rPr>
          <w:b w:val="0"/>
        </w:rPr>
        <w:t>Philadelphia's Franklin Institute has unveiled an 18,000-square-foot immersive "Star Wars" exhibition, complete with recreated film sets and RFID-enabled personalised visitor journeys, timed to the franchise's fiftieth anniversary. The model of turning intellectual property into experiential, technology-rich museum programming is directly relevant to Saudi Arabia's museum and attractions pipeline as it seeks to draw family and repeat audiences. (</w:t>
      </w:r>
      <w:hyperlink r:id="rId17">
        <w:r>
          <w:rPr>
            <w:color w:val="0000FF"/>
            <w:u w:val="single"/>
            <w:rFonts w:ascii="Times New Roman" w:hAnsi="Times New Roman"/>
          </w:rPr>
          <w:t xml:space="preserve">Blooloop</w:t>
        </w:r>
      </w:hyperlink>
      <w:r>
        <w:rPr>
          <w:b w:val="0"/>
        </w:rPr>
        <w:t>)</w:t>
      </w:r>
    </w:p>
    <w:p>
      <w:pPr>
        <w:pStyle w:val="NoSpacing"/>
      </w:pPr>
      <w:r>
        <w:rPr>
          <w:b/>
          <w:color w:val="000000"/>
        </w:rPr>
        <w:t>Visual Arts:</w:t>
      </w:r>
    </w:p>
    <w:p>
      <w:pPr>
        <w:pStyle w:val="ListBullet"/>
      </w:pPr>
      <w:r>
        <w:rPr>
          <w:b w:val="0"/>
        </w:rPr>
        <w:t>The pioneering American assemblage artist Betye Saar, who transformed derogatory historical images of Black Americans into works of resistance and memory, has died in Los Angeles at the age of 99. Her passing prompted wide international tribute and is a reminder of how a single artist's body of work can shape a national cultural conversation over decades — the kind of long-view artistic legacy Saudi institutions increasingly seek to build and document for their own artists. (</w:t>
      </w:r>
      <w:hyperlink r:id="rId18">
        <w:r>
          <w:rPr>
            <w:color w:val="0000FF"/>
            <w:u w:val="single"/>
            <w:rFonts w:ascii="Times New Roman" w:hAnsi="Times New Roman"/>
          </w:rPr>
          <w:t xml:space="preserve">Hyperallergic</w:t>
        </w:r>
      </w:hyperlink>
      <w:r>
        <w:rPr>
          <w:b w:val="0"/>
        </w:rPr>
        <w:t>)</w:t>
      </w:r>
    </w:p>
    <w:p>
      <w:pPr>
        <w:pStyle w:val="ListBullet"/>
      </w:pPr>
      <w:r>
        <w:rPr>
          <w:b w:val="0"/>
        </w:rPr>
        <w:t>Low Kee Hong, creative director of Manchester's Factory International, has been appointed artistic director of the 26th Biennale of Sydney in 2028, signalling an emphasis on Indigenous engagement and, in his words, "deep listening" amid social division. Curatorial appointments of this kind shape the international biennale circuit that Saudi Arabia's own Diriyah and Islamic Arts Biennales now sit within, useful context as the Kingdom builds its curatorial capacity and global partnerships. (</w:t>
      </w:r>
      <w:hyperlink r:id="rId19">
        <w:r>
          <w:rPr>
            <w:color w:val="0000FF"/>
            <w:u w:val="single"/>
            <w:rFonts w:ascii="Times New Roman" w:hAnsi="Times New Roman"/>
          </w:rPr>
          <w:t xml:space="preserve">The Art Newspaper</w:t>
        </w:r>
      </w:hyperlink>
      <w:r>
        <w:rPr>
          <w:b w:val="0"/>
        </w:rPr>
        <w:t>)</w:t>
      </w:r>
    </w:p>
    <w:p>
      <w:pPr>
        <w:pStyle w:val="NoSpacing"/>
      </w:pPr>
      <w:r>
        <w:rPr>
          <w:b/>
          <w:color w:val="000000"/>
        </w:rPr>
        <w:t>Fashion:</w:t>
      </w:r>
    </w:p>
    <w:p>
      <w:pPr>
        <w:pStyle w:val="ListBullet"/>
      </w:pPr>
      <w:r>
        <w:rPr>
          <w:b w:val="0"/>
        </w:rPr>
        <w:t>A new report from Capstone Partners counted 75 mergers and acquisitions in the apparel, footwear and accessories market so far in 2026, up 21 per cent year on year, with brand-management firms increasingly stepping in where private-equity buyers once led. The data points to a consolidating global fashion-business landscape that the Kingdom's Fashion Commission can read as it develops Saudi labels, investment pathways and the commercial infrastructure behind Riyadh Fashion Week. (</w:t>
      </w:r>
      <w:hyperlink r:id="rId20">
        <w:r>
          <w:rPr>
            <w:color w:val="0000FF"/>
            <w:u w:val="single"/>
            <w:rFonts w:ascii="Times New Roman" w:hAnsi="Times New Roman"/>
          </w:rPr>
          <w:t xml:space="preserve">WWD</w:t>
        </w:r>
      </w:hyperlink>
      <w:r>
        <w:rPr>
          <w:b w:val="0"/>
        </w:rPr>
        <w:t>)</w:t>
      </w:r>
    </w:p>
    <w:p>
      <w:pPr>
        <w:pStyle w:val="NoSpacing"/>
      </w:pPr>
      <w:r>
        <w:rPr>
          <w:b/>
          <w:color w:val="000000"/>
        </w:rPr>
        <w:t>Architecture and Design:</w:t>
      </w:r>
    </w:p>
    <w:p>
      <w:pPr>
        <w:pStyle w:val="ListBullet"/>
      </w:pPr>
      <w:r>
        <w:rPr>
          <w:b w:val="0"/>
        </w:rPr>
        <w:t>Japan's infrastructure ministry has expanded its PLATEAU project, offering free, open-access 3D "digital twin" models of more than 250 cities — with a target of 500 by 2027 — for use in urban planning, disaster management and heritage interpretation. The initiative is a working template for how open urban data and digital modelling can support heritage documentation and public engagement, techniques with clear application to the Kingdom's museum and heritage-interpretation programmes. (</w:t>
      </w:r>
      <w:hyperlink r:id="rId21">
        <w:r>
          <w:rPr>
            <w:color w:val="0000FF"/>
            <w:u w:val="single"/>
            <w:rFonts w:ascii="Times New Roman" w:hAnsi="Times New Roman"/>
          </w:rPr>
          <w:t xml:space="preserve">ArchDaily</w:t>
        </w:r>
      </w:hyperlink>
      <w:r>
        <w:rPr>
          <w:b w:val="0"/>
        </w:rPr>
        <w:t>)</w:t>
      </w:r>
    </w:p>
    <w:p>
      <w:pPr>
        <w:pStyle w:val="NoSpacing"/>
      </w:pPr>
      <w:r>
        <w:rPr>
          <w:b/>
          <w:color w:val="000000"/>
        </w:rPr>
        <w:t>Literature, Publishing, and Translation:</w:t>
      </w:r>
    </w:p>
    <w:p>
      <w:pPr>
        <w:pStyle w:val="ListBullet"/>
      </w:pPr>
      <w:r>
        <w:rPr>
          <w:b w:val="0"/>
        </w:rPr>
        <w:t>Atlantic Books has acquired UK and Commonwealth rights to "Starmer at 10: The Unfulfilled Premiership" by Anthony Seldon and Tom Egerton, a political history slated for September 2027 and built on interviews with senior government figures. The deal illustrates the enduring commercial pull of serious non-fiction and political publishing, a segment the Kingdom's Literature, Publishing and Translation Commission can weigh as it develops Saudi authorship, translation and the publishing trade. (</w:t>
      </w:r>
      <w:hyperlink r:id="rId22">
        <w:r>
          <w:rPr>
            <w:color w:val="0000FF"/>
            <w:u w:val="single"/>
            <w:rFonts w:ascii="Times New Roman" w:hAnsi="Times New Roman"/>
          </w:rPr>
          <w:t xml:space="preserve">The Bookseller</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Attacks on Saudi oil infrastructure keep a hard-security story at the centre of the Kingdom's coverage</w:t>
      </w:r>
    </w:p>
    <w:p>
      <w:pPr>
        <w:pStyle w:val="NoSpacing"/>
      </w:pPr>
      <w:r>
        <w:t>A drone strike on the Abqaiq crude-processing hub, the strikes on Yanbu and Jazan, a declared maritime blockade and a sharp fall in Red Sea shipping have placed Saudi Arabia's most strategic energy assets — and the stability underpinning its cultural-investment programme — under direct and sustained pressure, with crude prices back at two-month highs. Prolonged conflict framing risks overshadowing the Kingdom's tourism, festival and heritage messaging in international media.</w:t>
      </w:r>
    </w:p>
    <w:p>
      <w:pPr>
        <w:pStyle w:val="NoSpacing"/>
      </w:pPr>
      <w:r>
        <w:rPr>
          <w:b/>
        </w:rPr>
        <w:t xml:space="preserve">Source: </w:t>
      </w:r>
      <w:hyperlink r:id="rId9">
        <w:r>
          <w:rPr>
            <w:color w:val="0000FF"/>
            <w:u w:val="single"/>
            <w:rFonts w:ascii="Times New Roman" w:hAnsi="Times New Roman"/>
          </w:rPr>
          <w:t xml:space="preserve">The Week</w:t>
        </w:r>
      </w:hyperlink>
      <w:r>
        <w:rPr>
          <w:b w:val="0"/>
        </w:rPr>
        <w:t xml:space="preserve">, </w:t>
      </w:r>
      <w:hyperlink r:id="rId10">
        <w:r>
          <w:rPr>
            <w:color w:val="0000FF"/>
            <w:u w:val="single"/>
            <w:rFonts w:ascii="Times New Roman" w:hAnsi="Times New Roman"/>
          </w:rPr>
          <w:t xml:space="preserve">Al-Monitor</w:t>
        </w:r>
      </w:hyperlink>
      <w:r>
        <w:rPr>
          <w:b w:val="0"/>
        </w:rPr>
        <w:t xml:space="preserve">, </w:t>
      </w:r>
      <w:hyperlink r:id="rId11">
        <w:r>
          <w:rPr>
            <w:color w:val="0000FF"/>
            <w:u w:val="single"/>
            <w:rFonts w:ascii="Times New Roman" w:hAnsi="Times New Roman"/>
          </w:rPr>
          <w:t xml:space="preserve">AGBI</w:t>
        </w:r>
      </w:hyperlink>
      <w:r>
        <w:rPr>
          <w:b w:val="0"/>
        </w:rPr>
        <w:t xml:space="preserve">, </w:t>
      </w:r>
      <w:hyperlink r:id="rId12">
        <w:r>
          <w:rPr>
            <w:color w:val="0000FF"/>
            <w:u w:val="single"/>
            <w:rFonts w:ascii="Times New Roman" w:hAnsi="Times New Roman"/>
          </w:rPr>
          <w:t xml:space="preserve">The New York Times</w:t>
        </w:r>
      </w:hyperlink>
    </w:p>
    <w:p>
      <w:pPr>
        <w:pStyle w:val="NoSpacing"/>
      </w:pPr>
      <w:r>
        <w:rPr>
          <w:b/>
        </w:rPr>
        <w:t xml:space="preserve">Consideration: </w:t>
      </w:r>
      <w:r>
        <w:t>Keep the Ministry's cultural communications visibly distinct from the security and energy-market narrative, foregrounding credible cultural delivery, public access, Saudi talent and heritage stewardship rather than engaging the conflict framing directly — consistent with the posture maintained across recent editions as this situation has continued to escalate.</w:t>
      </w:r>
    </w:p>
    <w:p>
      <w:pPr>
        <w:pStyle w:val="NoSpacing"/>
      </w:pPr>
    </w:p>
    <w:p>
      <w:pPr>
        <w:pStyle w:val="NoSpacing"/>
      </w:pPr>
      <w:r>
        <w:rPr>
          <w:b/>
          <w:color w:val="000000"/>
        </w:rPr>
        <w:t>2. Adversarial state-media framing casts the Kingdom as the aggressor</w:t>
      </w:r>
    </w:p>
    <w:p>
      <w:pPr>
        <w:pStyle w:val="NoSpacing"/>
      </w:pPr>
      <w:r>
        <w:t>Iranian state media has framed Yemen's blockade and strikes on Saudi oil exports as a justified "reciprocal siege" in response to Saudi "aggression", casting the Kingdom as the party driving the confrontation rather than the target of attacks on its own territory. Such framing travels readily among audiences already critical of Saudi Arabia and can attach to its wider international image during a delicate period for its cultural outreach.</w:t>
      </w:r>
    </w:p>
    <w:p>
      <w:pPr>
        <w:pStyle w:val="NoSpacing"/>
      </w:pPr>
      <w:r>
        <w:rPr>
          <w:b/>
        </w:rPr>
        <w:t xml:space="preserve">Source: </w:t>
      </w:r>
      <w:hyperlink r:id="rId13">
        <w:r>
          <w:rPr>
            <w:color w:val="0000FF"/>
            <w:u w:val="single"/>
            <w:rFonts w:ascii="Times New Roman" w:hAnsi="Times New Roman"/>
          </w:rPr>
          <w:t xml:space="preserve">Press TV</w:t>
        </w:r>
      </w:hyperlink>
    </w:p>
    <w:p>
      <w:pPr>
        <w:pStyle w:val="NoSpacing"/>
      </w:pPr>
      <w:r>
        <w:rPr>
          <w:b/>
        </w:rPr>
        <w:t xml:space="preserve">Consideration: </w:t>
      </w:r>
      <w:r>
        <w:t>Anchor cultural communications in credible delivery, Saudi talent and genuine cultural exchange rather than reputation management, and avoid positioning cultural programming as a response to the security or rights narrative — the same approach taken in recent editions to comparable adversarial framing from Middle East Eye and Al Jazeera.</w:t>
      </w:r>
    </w:p>
    <w:p>
      <w:pPr>
        <w:pStyle w:val="NoSpacing"/>
      </w:pPr>
    </w:p>
    <w:p>
      <w:pPr>
        <w:pStyle w:val="NoSpacing"/>
      </w:pPr>
      <w:r>
        <w:rPr>
          <w:b/>
          <w:color w:val="A66500"/>
        </w:rPr>
        <w:t>Opportunities</w:t>
      </w:r>
    </w:p>
    <w:p>
      <w:pPr>
        <w:pStyle w:val="NoSpacing"/>
      </w:pPr>
      <w:r>
        <w:rPr>
          <w:b/>
          <w:color w:val="000000"/>
        </w:rPr>
        <w:t>1. Heritage and archaeology remain resilient, largely apolitical soft power</w:t>
      </w:r>
    </w:p>
    <w:p>
      <w:pPr>
        <w:pStyle w:val="NoSpacing"/>
      </w:pPr>
      <w:r>
        <w:t>A steady run of internationally covered archaeological discoveries this cycle — a rare medieval nomadic dwelling in Kazakhstan and a 500-object funerary complex in northern Egypt — underlines the continuing global appetite for heritage storytelling that sits largely outside geopolitics. It is a category the Kingdom is particularly well placed to supply from its own sites.</w:t>
      </w:r>
    </w:p>
    <w:p>
      <w:pPr>
        <w:pStyle w:val="NoSpacing"/>
      </w:pPr>
      <w:r>
        <w:rPr>
          <w:b/>
        </w:rPr>
        <w:t xml:space="preserve">Source: </w:t>
      </w:r>
      <w:hyperlink r:id="rId14">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Archaeology Magazine</w:t>
        </w:r>
      </w:hyperlink>
    </w:p>
    <w:p>
      <w:pPr>
        <w:pStyle w:val="NoSpacing"/>
      </w:pPr>
      <w:r>
        <w:rPr>
          <w:b/>
        </w:rPr>
        <w:t xml:space="preserve">Consideration: </w:t>
      </w:r>
      <w:r>
        <w:t>Prioritise and amplify Saudi heritage and archaeology stories from AlUla, Hegra, Dadan and Al-Faw as a positive counterweight during a tense regional news cycle, connecting individual discoveries into the Kingdom's broader civilisational narrative rather than treating them as isolated announcements.</w:t>
      </w:r>
    </w:p>
    <w:p>
      <w:pPr>
        <w:pStyle w:val="NoSpacing"/>
      </w:pPr>
    </w:p>
    <w:p>
      <w:pPr>
        <w:pStyle w:val="NoSpacing"/>
      </w:pPr>
      <w:r>
        <w:rPr>
          <w:b/>
          <w:color w:val="000000"/>
        </w:rPr>
        <w:t>2. Digital tools and experiential programming offer a template for museums and heritage interpretation</w:t>
      </w:r>
    </w:p>
    <w:p>
      <w:pPr>
        <w:pStyle w:val="NoSpacing"/>
      </w:pPr>
      <w:r>
        <w:t>Japan's open-access "digital twin" city models, an immersive technology-rich museum exhibition in Philadelphia, and a national gallery's acquisition of a contemporary popular-culture portrait together show how museums and heritage bodies are using digital modelling and experiential design to deepen public engagement. These are directly transferable techniques for the Kingdom's expanding museum and heritage-interpretation pipeline.</w:t>
      </w:r>
    </w:p>
    <w:p>
      <w:pPr>
        <w:pStyle w:val="NoSpacing"/>
      </w:pPr>
      <w:r>
        <w:rPr>
          <w:b/>
        </w:rPr>
        <w:t xml:space="preserve">Source: </w:t>
      </w:r>
      <w:hyperlink r:id="rId21">
        <w:r>
          <w:rPr>
            <w:color w:val="0000FF"/>
            <w:u w:val="single"/>
            <w:rFonts w:ascii="Times New Roman" w:hAnsi="Times New Roman"/>
          </w:rPr>
          <w:t xml:space="preserve">ArchDaily</w:t>
        </w:r>
      </w:hyperlink>
      <w:r>
        <w:rPr>
          <w:b w:val="0"/>
        </w:rPr>
        <w:t xml:space="preserve">, </w:t>
      </w:r>
      <w:hyperlink r:id="rId17">
        <w:r>
          <w:rPr>
            <w:color w:val="0000FF"/>
            <w:u w:val="single"/>
            <w:rFonts w:ascii="Times New Roman" w:hAnsi="Times New Roman"/>
          </w:rPr>
          <w:t xml:space="preserve">Blooloop</w:t>
        </w:r>
      </w:hyperlink>
      <w:r>
        <w:rPr>
          <w:b w:val="0"/>
        </w:rPr>
        <w:t xml:space="preserve">, </w:t>
      </w:r>
      <w:hyperlink r:id="rId16">
        <w:r>
          <w:rPr>
            <w:color w:val="0000FF"/>
            <w:u w:val="single"/>
            <w:rFonts w:ascii="Times New Roman" w:hAnsi="Times New Roman"/>
          </w:rPr>
          <w:t xml:space="preserve">The Art Newspaper</w:t>
        </w:r>
      </w:hyperlink>
    </w:p>
    <w:p>
      <w:pPr>
        <w:pStyle w:val="NoSpacing"/>
      </w:pPr>
      <w:r>
        <w:rPr>
          <w:b/>
        </w:rPr>
        <w:t xml:space="preserve">Consideration: </w:t>
      </w:r>
      <w:r>
        <w:t>The Museums and Heritage Commissions could evaluate digital-twin documentation and immersive, technology-enabled interpretation for AlUla, Diriyah and the national museum network, presenting them as part of a sustained modernisation of cultural access rather than one-off installations.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week.in/news/middle-east/2026/07/27/saudi-arabia-oil-refinery-attack-abqaiq-fire-impact.html" TargetMode="External"/><Relationship Id="rId10" Type="http://schemas.openxmlformats.org/officeDocument/2006/relationships/hyperlink" Target="https://www.al-monitor.com/originals/2026/07/red-sea-shipping-slows-after-houthi-attack-saudi-arabia-data-shows" TargetMode="External"/><Relationship Id="rId11" Type="http://schemas.openxmlformats.org/officeDocument/2006/relationships/hyperlink" Target="https://www.agbi.com/analysis/oil-and-gas/2026/07/yanbu-attacks-expose-saudi-oil-export-vulnerability/" TargetMode="External"/><Relationship Id="rId12" Type="http://schemas.openxmlformats.org/officeDocument/2006/relationships/hyperlink" Target="https://www.nytimes.com/2026/07/27/world/middleeast/houthis-saudi-arabia-iran-war.html" TargetMode="External"/><Relationship Id="rId13" Type="http://schemas.openxmlformats.org/officeDocument/2006/relationships/hyperlink" Target="https://www.presstv.co.uk/Detail/2026/07/27/773191/Saudi-oil-loading-volumes-fall-40--" TargetMode="External"/><Relationship Id="rId14" Type="http://schemas.openxmlformats.org/officeDocument/2006/relationships/hyperlink" Target="https://arkeonews.net/unique-medieval-house-on-wheels-from-the-kimak-khaganate-unearthed-in-kazakhstan/" TargetMode="External"/><Relationship Id="rId15" Type="http://schemas.openxmlformats.org/officeDocument/2006/relationships/hyperlink" Target="https://archaeology.org/news/2026/07/27/funerary-complex-unearthed-in-northern-egypt/" TargetMode="External"/><Relationship Id="rId16" Type="http://schemas.openxmlformats.org/officeDocument/2006/relationships/hyperlink" Target="https://www.theartnewspaper.com/2026/07/27/music-fashion-film-photography-charli-xcx-image-acquired-by-londons-national-portrait-gallery" TargetMode="External"/><Relationship Id="rId17" Type="http://schemas.openxmlformats.org/officeDocument/2006/relationships/hyperlink" Target="https://blooloop.com/news/franklin-institute-unveils-star-wars" TargetMode="External"/><Relationship Id="rId18" Type="http://schemas.openxmlformats.org/officeDocument/2006/relationships/hyperlink" Target="https://hyperallergic.com/betye-saar-who-opened-portals-between-worlds-dies-at-99/" TargetMode="External"/><Relationship Id="rId19" Type="http://schemas.openxmlformats.org/officeDocument/2006/relationships/hyperlink" Target="https://www.theartnewspaper.com/2026/07/27/biennale-sydney-curator-2028-low-kee-hong" TargetMode="External"/><Relationship Id="rId20" Type="http://schemas.openxmlformats.org/officeDocument/2006/relationships/hyperlink" Target="https://wwd.com/business-news/mergers-acquisitions/fashion-ma-deals-2026-capstone-report-1239083357/" TargetMode="External"/><Relationship Id="rId21" Type="http://schemas.openxmlformats.org/officeDocument/2006/relationships/hyperlink" Target="https://www.archdaily.com/1040412/from-data-to-digital-twins-japans-plateau-project-offers-open-access-models-of-more-than-250-cities" TargetMode="External"/><Relationship Id="rId22" Type="http://schemas.openxmlformats.org/officeDocument/2006/relationships/hyperlink" Target="https://www.thebookseller.com/rights/atlantic-books-acquires-story-of-keir-starmers-unfulfilled-premiersh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