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5 August 2026</w:t>
      </w:r>
    </w:p>
    <w:p>
      <w:pPr>
        <w:pStyle w:val="NoSpacing"/>
      </w:pPr>
    </w:p>
    <w:p>
      <w:pPr>
        <w:pStyle w:val="NoSpacing"/>
      </w:pPr>
      <w:r>
        <w:rPr>
          <w:b/>
          <w:color w:val="4A86E8"/>
        </w:rPr>
        <w:t>Saudi Arabia/Regional</w:t>
      </w:r>
    </w:p>
    <w:p>
      <w:pPr>
        <w:pStyle w:val="ListBullet"/>
      </w:pPr>
      <w:r>
        <w:t>Aramco profit rises 33% on higher oil prices</w:t>
      </w:r>
    </w:p>
    <w:p>
      <w:pPr>
        <w:pStyle w:val="ListBullet"/>
      </w:pPr>
      <w:r>
        <w:t>Aramco profits surge in face of mounting risks to exports</w:t>
      </w:r>
    </w:p>
    <w:p>
      <w:pPr>
        <w:pStyle w:val="ListBullet"/>
      </w:pPr>
      <w:r>
        <w:t>Saudi Arabia sustains non-oil growth and Kuwait rebounds</w:t>
      </w:r>
    </w:p>
    <w:p>
      <w:pPr>
        <w:pStyle w:val="ListBullet"/>
      </w:pPr>
      <w:r>
        <w:t>Saudi Arabia adds 1,173 archaeological sites to National Register</w:t>
      </w:r>
    </w:p>
    <w:p>
      <w:pPr>
        <w:pStyle w:val="NoSpacing"/>
      </w:pPr>
    </w:p>
    <w:p>
      <w:pPr>
        <w:pStyle w:val="NoSpacing"/>
      </w:pPr>
      <w:r>
        <w:rPr>
          <w:b/>
          <w:color w:val="EE0000"/>
        </w:rPr>
        <w:t>Negative Articles</w:t>
      </w:r>
    </w:p>
    <w:p>
      <w:pPr>
        <w:pStyle w:val="ListBullet"/>
      </w:pPr>
      <w:r>
        <w:t>Elon Musk's X latest to block Saudi dissident accounts inside kingdom</w:t>
      </w:r>
    </w:p>
    <w:p>
      <w:pPr>
        <w:pStyle w:val="NoSpacing"/>
      </w:pPr>
    </w:p>
    <w:p>
      <w:pPr>
        <w:pStyle w:val="NoSpacing"/>
      </w:pPr>
      <w:r>
        <w:rPr>
          <w:b/>
          <w:color w:val="4A86E8"/>
        </w:rPr>
        <w:t>Global</w:t>
      </w:r>
    </w:p>
    <w:p>
      <w:pPr>
        <w:pStyle w:val="ListBullet"/>
      </w:pPr>
      <w:r>
        <w:t>The Australian Museum returns remains of Rapa Nui ancestors to Easter Island</w:t>
      </w:r>
    </w:p>
    <w:p>
      <w:pPr>
        <w:pStyle w:val="ListBullet"/>
      </w:pPr>
      <w:r>
        <w:t>Reconstruction of legendary Sutton Hoo ship takes shape</w:t>
      </w:r>
    </w:p>
    <w:p>
      <w:pPr>
        <w:pStyle w:val="ListBullet"/>
      </w:pPr>
      <w:r>
        <w:t>Silenced for 6,000 Years: How a Tiny Stone Seal Resurrected Iran's Oldest Harp</w:t>
      </w:r>
    </w:p>
    <w:p>
      <w:pPr>
        <w:pStyle w:val="ListBullet"/>
      </w:pPr>
      <w:r>
        <w:t>Roman Villa Featured Oldest Known Library in Iberia</w:t>
      </w:r>
    </w:p>
    <w:p>
      <w:pPr>
        <w:pStyle w:val="ListBullet"/>
      </w:pPr>
      <w:r>
        <w:t>London mayor Sadiq Khan calls for city's public museums to remain free to enter</w:t>
      </w:r>
    </w:p>
    <w:p>
      <w:pPr>
        <w:pStyle w:val="ListBullet"/>
      </w:pPr>
      <w:r>
        <w:t>$203m donation to fund transformation of Brown Museum</w:t>
      </w:r>
    </w:p>
    <w:p>
      <w:pPr>
        <w:pStyle w:val="ListBullet"/>
      </w:pPr>
      <w:r>
        <w:t>Fra Angelico's earliest surviving altarpiece returns to Fiesole after restoration reveals hidden throne</w:t>
      </w:r>
    </w:p>
    <w:p>
      <w:pPr>
        <w:pStyle w:val="ListBullet"/>
      </w:pPr>
      <w:r>
        <w:t>SBP and Snøhetta cantilever bridge across New York gorge</w:t>
      </w:r>
    </w:p>
    <w:p>
      <w:pPr>
        <w:pStyle w:val="ListBullet"/>
      </w:pPr>
      <w:r>
        <w:t>Six new one-Michelin-star restaurants to watch: The Michelin Guide Singapore 2026</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Saudi Aramco's second-quarter profit rose 33% year on year, with elevated crude prices and strong refining margins offsetting reduced export volumes, and the company held its base dividend at $21.9bn while chief executive Amin Nasser said production could return to pre-war levels within three days if the Strait of Hormuz reopened. For the Ministry, the earnings underline how heavily the fiscal base that funds cultural investment still tracks oil and regional security, a reminder of why the non-oil cultural economy is being built as a hedge rather than an ornament. (</w:t>
      </w:r>
      <w:hyperlink r:id="rId9">
        <w:r>
          <w:rPr>
            <w:color w:val="0000FF"/>
            <w:u w:val="single"/>
            <w:rFonts w:ascii="Times New Roman" w:hAnsi="Times New Roman"/>
          </w:rPr>
          <w:t xml:space="preserve">Semafor</w:t>
        </w:r>
      </w:hyperlink>
      <w:r>
        <w:rPr>
          <w:b w:val="0"/>
        </w:rPr>
        <w:t>)</w:t>
      </w:r>
    </w:p>
    <w:p>
      <w:pPr>
        <w:pStyle w:val="ListBullet"/>
      </w:pPr>
      <w:r>
        <w:rPr>
          <w:b w:val="0"/>
        </w:rPr>
        <w:t>The same results carry a sharper read on vulnerability: analysts noted production fell by close to a third from the previous quarter, with the Strait of Hormuz slowed and Houthi activity forcing tankers away from Red Sea terminals at Yanbu and Jazan onto longer routes, while Nasser declined to detail security incidents. Sustained disruption to the export engine is the kind of backdrop that can dampen investor and visitor confidence, making the case for a cultural narrative anchored in tangible delivery rather than headline economics. (</w:t>
      </w:r>
      <w:hyperlink r:id="rId10">
        <w:r>
          <w:rPr>
            <w:color w:val="0000FF"/>
            <w:u w:val="single"/>
            <w:rFonts w:ascii="Times New Roman" w:hAnsi="Times New Roman"/>
          </w:rPr>
          <w:t xml:space="preserve">AGBI</w:t>
        </w:r>
      </w:hyperlink>
      <w:r>
        <w:rPr>
          <w:b w:val="0"/>
        </w:rPr>
        <w:t>)</w:t>
      </w:r>
    </w:p>
    <w:p>
      <w:pPr>
        <w:pStyle w:val="ListBullet"/>
      </w:pPr>
      <w:r>
        <w:rPr>
          <w:b w:val="0"/>
        </w:rPr>
        <w:t>Away from oil, Saudi Arabia's non-oil private sector kept expanding in July, with the Riyad Bank PMI at 53.1 and a fourth straight month of improving output and new orders, even as export orders softened under conflict-related shipping costs. This is a useful, verifiable proof point that the diversification underpinning Vision 2030's cultural and creative-sector ambitions is holding up through a turbulent regional moment. (</w:t>
      </w:r>
      <w:hyperlink r:id="rId11">
        <w:r>
          <w:rPr>
            <w:color w:val="0000FF"/>
            <w:u w:val="single"/>
            <w:rFonts w:ascii="Times New Roman" w:hAnsi="Times New Roman"/>
          </w:rPr>
          <w:t xml:space="preserve">AGBI</w:t>
        </w:r>
      </w:hyperlink>
      <w:r>
        <w:rPr>
          <w:b w:val="0"/>
        </w:rPr>
        <w:t>)</w:t>
      </w:r>
    </w:p>
    <w:p>
      <w:pPr>
        <w:pStyle w:val="NoSpacing"/>
      </w:pPr>
      <w:r>
        <w:rPr>
          <w:b/>
          <w:color w:val="000000"/>
        </w:rPr>
        <w:t>Heritage:</w:t>
      </w:r>
    </w:p>
    <w:p>
      <w:pPr>
        <w:pStyle w:val="ListBullet"/>
      </w:pPr>
      <w:r>
        <w:rPr>
          <w:b w:val="0"/>
        </w:rPr>
        <w:t>The Heritage Commission has added 1,173 newly documented archaeological sites to the National Antiquities Register, taking the national inventory to 14,164 locations, with the additions spread across Madinah, Tabuk, Najran, Hail, Al-Jouf, Makkah and Asir. Systematic registration on this scale gives the Kingdom a concrete stewardship story to tell internationally and strengthens the evidentiary basis for future heritage-tourism and site-protection programming. (</w:t>
      </w:r>
      <w:hyperlink r:id="rId12">
        <w:r>
          <w:rPr>
            <w:color w:val="0000FF"/>
            <w:u w:val="single"/>
            <w:rFonts w:ascii="Times New Roman" w:hAnsi="Times New Roman"/>
          </w:rPr>
          <w:t xml:space="preserve">Gulf Insider</w:t>
        </w:r>
      </w:hyperlink>
      <w:r>
        <w:rPr>
          <w:b w:val="0"/>
        </w:rPr>
        <w:t>)</w:t>
      </w:r>
    </w:p>
    <w:p>
      <w:pPr>
        <w:pStyle w:val="NoSpacing"/>
      </w:pPr>
    </w:p>
    <w:p>
      <w:pPr>
        <w:pStyle w:val="NoSpacing"/>
      </w:pPr>
      <w:r>
        <w:rPr>
          <w:b/>
          <w:color w:val="EE0000"/>
        </w:rPr>
        <w:t>Negative Articles</w:t>
      </w:r>
    </w:p>
    <w:p>
      <w:pPr>
        <w:pStyle w:val="ListBullet"/>
      </w:pPr>
      <w:r>
        <w:rPr>
          <w:b w:val="0"/>
        </w:rPr>
        <w:t>X has become the latest US platform to geo-block the accounts of Saudi dissidents inside the Kingdom, with more than sixty accounts — including those of well-known activists — restricted on the authorities' orders, and the rights group ALQST quoted criticising technology firms' compliance. The story keeps questions of free expression and digital rights in international coverage, a reputational current that can bleed into how global audiences read otherwise unrelated cultural-sector announcements. (</w:t>
      </w:r>
      <w:hyperlink r:id="rId13">
        <w:r>
          <w:rPr>
            <w:color w:val="0000FF"/>
            <w:u w:val="single"/>
            <w:rFonts w:ascii="Times New Roman" w:hAnsi="Times New Roman"/>
          </w:rPr>
          <w:t xml:space="preserve">The Guardian</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Sydney's Australian Museum has returned the remains of Rapa Nui ancestors — seventeen skulls and a hair sample taken during an 1882 expedition — to Easter Island, in a restitution welcomed by the community's Council of Elders. The case adds to the fast-moving international norm around repatriation of ancestral remains, a debate Saudi heritage institutions can track as they position their own collections and provenance practices. (</w:t>
      </w:r>
      <w:hyperlink r:id="rId14">
        <w:r>
          <w:rPr>
            <w:color w:val="0000FF"/>
            <w:u w:val="single"/>
            <w:rFonts w:ascii="Times New Roman" w:hAnsi="Times New Roman"/>
          </w:rPr>
          <w:t xml:space="preserve">The Art Newspaper</w:t>
        </w:r>
      </w:hyperlink>
      <w:r>
        <w:rPr>
          <w:b w:val="0"/>
        </w:rPr>
        <w:t>)</w:t>
      </w:r>
    </w:p>
    <w:p>
      <w:pPr>
        <w:pStyle w:val="ListBullet"/>
      </w:pPr>
      <w:r>
        <w:rPr>
          <w:b w:val="0"/>
        </w:rPr>
        <w:t>A full-scale reconstruction of the seventh-century Anglo-Saxon Sutton Hoo burial ship is taking shape in England, with the vessel expected to take to the water in 2027 as a public exercise in experimental archaeology. It is a reminder of how reconstruction and living-heritage projects can turn a static excavation story into sustained public engagement, an approach relevant to the Kingdom's own major sites. (</w:t>
      </w:r>
      <w:hyperlink r:id="rId15">
        <w:r>
          <w:rPr>
            <w:color w:val="0000FF"/>
            <w:u w:val="single"/>
            <w:rFonts w:ascii="Times New Roman" w:hAnsi="Times New Roman"/>
          </w:rPr>
          <w:t xml:space="preserve">The Art Newspaper</w:t>
        </w:r>
      </w:hyperlink>
      <w:r>
        <w:rPr>
          <w:b w:val="0"/>
        </w:rPr>
        <w:t>)</w:t>
      </w:r>
    </w:p>
    <w:p>
      <w:pPr>
        <w:pStyle w:val="ListBullet"/>
      </w:pPr>
      <w:r>
        <w:rPr>
          <w:b w:val="0"/>
        </w:rPr>
        <w:t>Researchers have used a small 6,000-year-old carved stone seal to reconstruct what is described as Iran's oldest known harp, offering a rare window onto early musical culture in the region. Beyond its scholarly value, the find shows how a single small object can anchor a compelling narrative about the deep roots of music in the wider Middle East. (</w:t>
      </w:r>
      <w:hyperlink r:id="rId16">
        <w:r>
          <w:rPr>
            <w:color w:val="0000FF"/>
            <w:u w:val="single"/>
            <w:rFonts w:ascii="Times New Roman" w:hAnsi="Times New Roman"/>
          </w:rPr>
          <w:t xml:space="preserve">Arkeonews</w:t>
        </w:r>
      </w:hyperlink>
      <w:r>
        <w:rPr>
          <w:b w:val="0"/>
        </w:rPr>
        <w:t>)</w:t>
      </w:r>
    </w:p>
    <w:p>
      <w:pPr>
        <w:pStyle w:val="ListBullet"/>
      </w:pPr>
      <w:r>
        <w:rPr>
          <w:b w:val="0"/>
        </w:rPr>
        <w:t>Excavation of a Roman villa on the Iberian Peninsula has revealed what archaeologists identify as the oldest known library in the region, a rare survival that sheds light on private learning in the Roman provinces. The discovery is a useful benchmark for how a single architectural feature can reframe understanding of literacy and daily life in the ancient world. (</w:t>
      </w:r>
      <w:hyperlink r:id="rId17">
        <w:r>
          <w:rPr>
            <w:color w:val="0000FF"/>
            <w:u w:val="single"/>
            <w:rFonts w:ascii="Times New Roman" w:hAnsi="Times New Roman"/>
          </w:rPr>
          <w:t xml:space="preserve">Archaeology Magazine</w:t>
        </w:r>
      </w:hyperlink>
      <w:r>
        <w:rPr>
          <w:b w:val="0"/>
        </w:rPr>
        <w:t>)</w:t>
      </w:r>
    </w:p>
    <w:p>
      <w:pPr>
        <w:pStyle w:val="NoSpacing"/>
      </w:pPr>
      <w:r>
        <w:rPr>
          <w:b/>
          <w:color w:val="000000"/>
        </w:rPr>
        <w:t>Museums:</w:t>
      </w:r>
    </w:p>
    <w:p>
      <w:pPr>
        <w:pStyle w:val="ListBullet"/>
      </w:pPr>
      <w:r>
        <w:rPr>
          <w:b w:val="0"/>
        </w:rPr>
        <w:t>The mayor of London, Sadiq Khan, has called on the UK government to keep the capital's national museums free to enter, framing free access as fundamental to the city amid mounting funding pressure on the sector. The intervention sharpens a live global debate about the economics of museum access that is directly relevant as Saudi Arabia scales up its own public museum offer. (</w:t>
      </w:r>
      <w:hyperlink r:id="rId18">
        <w:r>
          <w:rPr>
            <w:color w:val="0000FF"/>
            <w:u w:val="single"/>
            <w:rFonts w:ascii="Times New Roman" w:hAnsi="Times New Roman"/>
          </w:rPr>
          <w:t xml:space="preserve">The Art Newspaper</w:t>
        </w:r>
      </w:hyperlink>
      <w:r>
        <w:rPr>
          <w:b w:val="0"/>
        </w:rPr>
        <w:t>)</w:t>
      </w:r>
    </w:p>
    <w:p>
      <w:pPr>
        <w:pStyle w:val="ListBullet"/>
      </w:pPr>
      <w:r>
        <w:rPr>
          <w:b w:val="0"/>
        </w:rPr>
        <w:t>Brown University has received a $203m donation to fund a major transformation of its museum, one of the larger recent philanthropic commitments to a university museum. The gift underlines the continuing role of large-scale private giving in museum development, a model of institutional partnership worth noting as Saudi cultural bodies cultivate their own donor and endowment strategies. (</w:t>
      </w:r>
      <w:hyperlink r:id="rId19">
        <w:r>
          <w:rPr>
            <w:color w:val="0000FF"/>
            <w:u w:val="single"/>
            <w:rFonts w:ascii="Times New Roman" w:hAnsi="Times New Roman"/>
          </w:rPr>
          <w:t xml:space="preserve">Blooloop</w:t>
        </w:r>
      </w:hyperlink>
      <w:r>
        <w:rPr>
          <w:b w:val="0"/>
        </w:rPr>
        <w:t>)</w:t>
      </w:r>
    </w:p>
    <w:p>
      <w:pPr>
        <w:pStyle w:val="NoSpacing"/>
      </w:pPr>
      <w:r>
        <w:rPr>
          <w:b/>
          <w:color w:val="000000"/>
        </w:rPr>
        <w:t>Visual Arts:</w:t>
      </w:r>
    </w:p>
    <w:p>
      <w:pPr>
        <w:pStyle w:val="ListBullet"/>
      </w:pPr>
      <w:r>
        <w:rPr>
          <w:b w:val="0"/>
        </w:rPr>
        <w:t>Fra Angelico's earliest surviving altarpiece has returned to Fiesole after a restoration that uncovered a hidden throne beneath later overpainting, a discovery that reshapes understanding of the young friar-painter's development. The project is a clear example of how conservation science can generate fresh art-historical narratives and renewed public interest in works long thought fully known. (</w:t>
      </w:r>
      <w:hyperlink r:id="rId20">
        <w:r>
          <w:rPr>
            <w:color w:val="0000FF"/>
            <w:u w:val="single"/>
            <w:rFonts w:ascii="Times New Roman" w:hAnsi="Times New Roman"/>
          </w:rPr>
          <w:t xml:space="preserve">The Art Newspaper</w:t>
        </w:r>
      </w:hyperlink>
      <w:r>
        <w:rPr>
          <w:b w:val="0"/>
        </w:rPr>
        <w:t>)</w:t>
      </w:r>
    </w:p>
    <w:p>
      <w:pPr>
        <w:pStyle w:val="NoSpacing"/>
      </w:pPr>
      <w:r>
        <w:rPr>
          <w:b/>
          <w:color w:val="000000"/>
        </w:rPr>
        <w:t>Architecture and Design:</w:t>
      </w:r>
    </w:p>
    <w:p>
      <w:pPr>
        <w:pStyle w:val="ListBullet"/>
      </w:pPr>
      <w:r>
        <w:rPr>
          <w:b w:val="0"/>
        </w:rPr>
        <w:t>Schlaich Bergermann Partner and Snøhetta have completed a lightweight steel half-arch footbridge that cantilevers across a gorge at Watkins Glen State Park in upstate New York, replacing an ageing crossing while minimising ecological disturbance through off-site fabrication. The project shows how contemporary engineering and restrained material choices can insert new infrastructure into a sensitive natural setting, a balance relevant to the Kingdom's landscape and heritage-adjacent developments. (</w:t>
      </w:r>
      <w:hyperlink r:id="rId21">
        <w:r>
          <w:rPr>
            <w:color w:val="0000FF"/>
            <w:u w:val="single"/>
            <w:rFonts w:ascii="Times New Roman" w:hAnsi="Times New Roman"/>
          </w:rPr>
          <w:t xml:space="preserve">Dezeen</w:t>
        </w:r>
      </w:hyperlink>
      <w:r>
        <w:rPr>
          <w:b w:val="0"/>
        </w:rPr>
        <w:t>)</w:t>
      </w:r>
    </w:p>
    <w:p>
      <w:pPr>
        <w:pStyle w:val="NoSpacing"/>
      </w:pPr>
      <w:r>
        <w:rPr>
          <w:b/>
          <w:color w:val="000000"/>
        </w:rPr>
        <w:t>Culinary Arts:</w:t>
      </w:r>
    </w:p>
    <w:p>
      <w:pPr>
        <w:pStyle w:val="ListBullet"/>
      </w:pPr>
      <w:r>
        <w:rPr>
          <w:b w:val="0"/>
        </w:rPr>
        <w:t>Michelin has unveiled its tenth-anniversary Singapore guide, retaining three-star status for Les Amis, Odette and Zén and adding seven newly starred restaurants to bring the total to forty-five. The guide's evolution is a useful reference for how a maturing dining scene converts sustained investment into international culinary recognition, a trajectory Saudi Arabia's own gastronomy sector is pursuing. (</w:t>
      </w:r>
      <w:hyperlink r:id="rId22">
        <w:r>
          <w:rPr>
            <w:color w:val="0000FF"/>
            <w:u w:val="single"/>
            <w:rFonts w:ascii="Times New Roman" w:hAnsi="Times New Roman"/>
          </w:rPr>
          <w:t xml:space="preserve">Time Out</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Regional-security disruption to the export engine that funds cultural investment</w:t>
      </w:r>
    </w:p>
    <w:p>
      <w:pPr>
        <w:pStyle w:val="NoSpacing"/>
      </w:pPr>
      <w:r>
        <w:t>Aramco's strong quarter masked a near one-third fall in production and concurrent threats to both the Strait of Hormuz and Red Sea export routes, with Houthi activity pushing tankers onto longer paths and the company declining to detail security incidents. Prolonged disruption of this kind can weigh on investor and visitor confidence and, by extension, on the wider environment in which the Kingdom's cultural-tourism story is received.</w:t>
      </w:r>
    </w:p>
    <w:p>
      <w:pPr>
        <w:pStyle w:val="NoSpacing"/>
      </w:pPr>
      <w:r>
        <w:rPr>
          <w:b/>
        </w:rPr>
        <w:t xml:space="preserve">Source: </w:t>
      </w:r>
      <w:hyperlink r:id="rId10">
        <w:r>
          <w:rPr>
            <w:color w:val="0000FF"/>
            <w:u w:val="single"/>
            <w:rFonts w:ascii="Times New Roman" w:hAnsi="Times New Roman"/>
          </w:rPr>
          <w:t xml:space="preserve">AGBI</w:t>
        </w:r>
      </w:hyperlink>
      <w:r>
        <w:rPr>
          <w:b w:val="0"/>
        </w:rPr>
        <w:t xml:space="preserve">, </w:t>
      </w:r>
      <w:hyperlink r:id="rId9">
        <w:r>
          <w:rPr>
            <w:color w:val="0000FF"/>
            <w:u w:val="single"/>
            <w:rFonts w:ascii="Times New Roman" w:hAnsi="Times New Roman"/>
          </w:rPr>
          <w:t xml:space="preserve">Semafor</w:t>
        </w:r>
      </w:hyperlink>
    </w:p>
    <w:p>
      <w:pPr>
        <w:pStyle w:val="NoSpacing"/>
      </w:pPr>
      <w:r>
        <w:rPr>
          <w:b/>
        </w:rPr>
        <w:t xml:space="preserve">Consideration: </w:t>
      </w:r>
      <w:r>
        <w:t>Keep the Ministry's cultural narrative deliberately distinct from oil and security headlines, foregrounding tangible delivery, public access, Saudi talent and heritage stewardship as the durable proof points that hold their value through regional volatility.</w:t>
      </w:r>
    </w:p>
    <w:p>
      <w:pPr>
        <w:pStyle w:val="NoSpacing"/>
      </w:pPr>
    </w:p>
    <w:p>
      <w:pPr>
        <w:pStyle w:val="NoSpacing"/>
      </w:pPr>
      <w:r>
        <w:rPr>
          <w:b/>
          <w:color w:val="000000"/>
        </w:rPr>
        <w:t>2. Digital-rights scrutiny keeps free-expression narratives in international coverage</w:t>
      </w:r>
    </w:p>
    <w:p>
      <w:pPr>
        <w:pStyle w:val="NoSpacing"/>
      </w:pPr>
      <w:r>
        <w:t>The blocking of Saudi dissident accounts on X, with a rights group publicly criticising platform compliance, sustains a reputational current around free expression and censorship that international audiences may carry into their reading of unrelated cultural announcements.</w:t>
      </w:r>
    </w:p>
    <w:p>
      <w:pPr>
        <w:pStyle w:val="NoSpacing"/>
      </w:pPr>
      <w:r>
        <w:rPr>
          <w:b/>
        </w:rPr>
        <w:t xml:space="preserve">Source: </w:t>
      </w:r>
      <w:hyperlink r:id="rId13">
        <w:r>
          <w:rPr>
            <w:color w:val="0000FF"/>
            <w:u w:val="single"/>
            <w:rFonts w:ascii="Times New Roman" w:hAnsi="Times New Roman"/>
          </w:rPr>
          <w:t xml:space="preserve">The Guardian</w:t>
        </w:r>
      </w:hyperlink>
    </w:p>
    <w:p>
      <w:pPr>
        <w:pStyle w:val="NoSpacing"/>
      </w:pPr>
      <w:r>
        <w:rPr>
          <w:b/>
        </w:rPr>
        <w:t xml:space="preserve">Consideration: </w:t>
      </w:r>
      <w:r>
        <w:t>Continue to let credible, open cultural programming and genuine international cultural exchange speak for themselves, keeping cultural-sector communications visibly separate from the platform-moderation story rather than engaging it directly.</w:t>
      </w:r>
    </w:p>
    <w:p>
      <w:pPr>
        <w:pStyle w:val="NoSpacing"/>
      </w:pPr>
    </w:p>
    <w:p>
      <w:pPr>
        <w:pStyle w:val="NoSpacing"/>
      </w:pPr>
      <w:r>
        <w:rPr>
          <w:b/>
          <w:color w:val="A66500"/>
        </w:rPr>
        <w:t>Opportunities</w:t>
      </w:r>
    </w:p>
    <w:p>
      <w:pPr>
        <w:pStyle w:val="NoSpacing"/>
      </w:pPr>
      <w:r>
        <w:rPr>
          <w:b/>
          <w:color w:val="000000"/>
        </w:rPr>
        <w:t>1. A joined-up proof point for non-oil, heritage-led diversification</w:t>
      </w:r>
    </w:p>
    <w:p>
      <w:pPr>
        <w:pStyle w:val="NoSpacing"/>
      </w:pPr>
      <w:r>
        <w:t>July's continued non-oil private-sector growth and the addition of 1,173 sites to the National Antiquities Register are both concrete, verifiable milestones rather than forward-looking claims, and they land in the same news window.</w:t>
      </w:r>
    </w:p>
    <w:p>
      <w:pPr>
        <w:pStyle w:val="NoSpacing"/>
      </w:pPr>
      <w:r>
        <w:rPr>
          <w:b/>
        </w:rPr>
        <w:t xml:space="preserve">Source: </w:t>
      </w:r>
      <w:hyperlink r:id="rId11">
        <w:r>
          <w:rPr>
            <w:color w:val="0000FF"/>
            <w:u w:val="single"/>
            <w:rFonts w:ascii="Times New Roman" w:hAnsi="Times New Roman"/>
          </w:rPr>
          <w:t xml:space="preserve">AGBI</w:t>
        </w:r>
      </w:hyperlink>
      <w:r>
        <w:rPr>
          <w:b w:val="0"/>
        </w:rPr>
        <w:t xml:space="preserve">, </w:t>
      </w:r>
      <w:hyperlink r:id="rId12">
        <w:r>
          <w:rPr>
            <w:color w:val="0000FF"/>
            <w:u w:val="single"/>
            <w:rFonts w:ascii="Times New Roman" w:hAnsi="Times New Roman"/>
          </w:rPr>
          <w:t xml:space="preserve">Gulf Insider</w:t>
        </w:r>
      </w:hyperlink>
    </w:p>
    <w:p>
      <w:pPr>
        <w:pStyle w:val="NoSpacing"/>
      </w:pPr>
      <w:r>
        <w:rPr>
          <w:b/>
        </w:rPr>
        <w:t xml:space="preserve">Consideration: </w:t>
      </w:r>
      <w:r>
        <w:t>Pair the heritage-register milestone with the non-oil growth data to tell a single, evidence-based story of cultural stewardship underpinning economic diversification, rather than presenting each as an isolated announcement.</w:t>
      </w:r>
    </w:p>
    <w:p>
      <w:pPr>
        <w:pStyle w:val="NoSpacing"/>
      </w:pPr>
    </w:p>
    <w:p>
      <w:pPr>
        <w:pStyle w:val="NoSpacing"/>
      </w:pPr>
      <w:r>
        <w:rPr>
          <w:b/>
          <w:color w:val="000000"/>
        </w:rPr>
        <w:t>2. Global museum currents the Kingdom can benchmark against</w:t>
      </w:r>
    </w:p>
    <w:p>
      <w:pPr>
        <w:pStyle w:val="NoSpacing"/>
      </w:pPr>
      <w:r>
        <w:t>This window's international museum stories — a mayoral push to protect free access in London, a major philanthropic gift to a university museum, and a high-profile restitution of ancestral remains — map neatly onto the access, funding and stewardship questions Saudi Arabia is navigating as it builds out its museums sector.</w:t>
      </w:r>
    </w:p>
    <w:p>
      <w:pPr>
        <w:pStyle w:val="NoSpacing"/>
      </w:pPr>
      <w:r>
        <w:rPr>
          <w:b/>
        </w:rPr>
        <w:t xml:space="preserve">Source: </w:t>
      </w:r>
      <w:hyperlink r:id="rId18">
        <w:r>
          <w:rPr>
            <w:color w:val="0000FF"/>
            <w:u w:val="single"/>
            <w:rFonts w:ascii="Times New Roman" w:hAnsi="Times New Roman"/>
          </w:rPr>
          <w:t xml:space="preserve">The Art Newspaper</w:t>
        </w:r>
      </w:hyperlink>
      <w:r>
        <w:rPr>
          <w:b w:val="0"/>
        </w:rPr>
        <w:t xml:space="preserve">, </w:t>
      </w:r>
      <w:hyperlink r:id="rId19">
        <w:r>
          <w:rPr>
            <w:color w:val="0000FF"/>
            <w:u w:val="single"/>
            <w:rFonts w:ascii="Times New Roman" w:hAnsi="Times New Roman"/>
          </w:rPr>
          <w:t xml:space="preserve">Blooloop</w:t>
        </w:r>
      </w:hyperlink>
    </w:p>
    <w:p>
      <w:pPr>
        <w:pStyle w:val="NoSpacing"/>
      </w:pPr>
      <w:r>
        <w:rPr>
          <w:b/>
        </w:rPr>
        <w:t xml:space="preserve">Consideration: </w:t>
      </w:r>
      <w:r>
        <w:t>Position Saudi museum programming within these global best-practice currents — public access, ethical stewardship and philanthropic partnership — to signal that the Kingdom's institutions are being built to international norms from the outset.</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emafor.com/article/08/04/2026/aramco-profit-rises-33-on-higher-oil-prices" TargetMode="External"/><Relationship Id="rId10" Type="http://schemas.openxmlformats.org/officeDocument/2006/relationships/hyperlink" Target="https://www.agbi.com/analysis/oil-and-gas/2026/08/aramco-profits-surge-in-face-of-mounting-risks-to-exports/" TargetMode="External"/><Relationship Id="rId11" Type="http://schemas.openxmlformats.org/officeDocument/2006/relationships/hyperlink" Target="https://www.agbi.com/economy/2026/08/saudi-arabia-sustains-non-oil-growth-and-kuwait-rebounds/" TargetMode="External"/><Relationship Id="rId12" Type="http://schemas.openxmlformats.org/officeDocument/2006/relationships/hyperlink" Target="https://www.gulf-insider.com/saudi-arabia-adds-1173-archaeological-sites-to-national-register/" TargetMode="External"/><Relationship Id="rId13" Type="http://schemas.openxmlformats.org/officeDocument/2006/relationships/hyperlink" Target="https://www.theguardian.com/technology/2026/aug/04/x-twitter-blocks-dissident-accounts-saudi-arabia" TargetMode="External"/><Relationship Id="rId14" Type="http://schemas.openxmlformats.org/officeDocument/2006/relationships/hyperlink" Target="https://www.theartnewspaper.com/2026/08/04/australian-museum-repatriates-rapa-nui-remains-easter-island" TargetMode="External"/><Relationship Id="rId15" Type="http://schemas.openxmlformats.org/officeDocument/2006/relationships/hyperlink" Target="https://www.theartnewspaper.com/2026/08/04/reconstruction-of-legendary-sutton-hoo-ship-takes-shape" TargetMode="External"/><Relationship Id="rId16" Type="http://schemas.openxmlformats.org/officeDocument/2006/relationships/hyperlink" Target="https://arkeonews.net/silenced-for-6000-years-how-a-tiny-stone-seal-resurrected-irans-oldest-harp/" TargetMode="External"/><Relationship Id="rId17" Type="http://schemas.openxmlformats.org/officeDocument/2006/relationships/hyperlink" Target="https://archaeology.org/news/2026/08/04/roman-villa-featured-oldest-known-library-in-iberia/" TargetMode="External"/><Relationship Id="rId18" Type="http://schemas.openxmlformats.org/officeDocument/2006/relationships/hyperlink" Target="https://www.theartnewspaper.com/2026/08/04/london-mayor-sadiq-khan-calls-for-national-museums-to-remain-free-to-enter" TargetMode="External"/><Relationship Id="rId19" Type="http://schemas.openxmlformats.org/officeDocument/2006/relationships/hyperlink" Target="https://blooloop.com/203m-donation-brown-museum/" TargetMode="External"/><Relationship Id="rId20" Type="http://schemas.openxmlformats.org/officeDocument/2006/relationships/hyperlink" Target="https://www.theartnewspaper.com/2026/08/04/fra-angelicos-earliest-surviving-altarpiece-returns-to-fiesole-after-restoration-reveals-hidden-throne" TargetMode="External"/><Relationship Id="rId21" Type="http://schemas.openxmlformats.org/officeDocument/2006/relationships/hyperlink" Target="https://www.dezeen.com/2026/08/04/sentry-bridge-watkins-glen-gorge-snohetta-sbp/" TargetMode="External"/><Relationship Id="rId22" Type="http://schemas.openxmlformats.org/officeDocument/2006/relationships/hyperlink" Target="https://www.timeout.com/singapore/news/six-new-one-michelin-star-restaurants-to-watch-the-michelin-guide-singapore-2026-0804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