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15 September 2026</w:t>
      </w:r>
    </w:p>
    <w:p>
      <w:pPr>
        <w:pStyle w:val="NoSpacing"/>
      </w:pPr>
    </w:p>
    <w:p>
      <w:pPr>
        <w:pStyle w:val="NoSpacing"/>
      </w:pPr>
      <w:r>
        <w:rPr>
          <w:b/>
          <w:color w:val="4A86E8"/>
        </w:rPr>
        <w:t>Saudi Arabia/Regional</w:t>
      </w:r>
    </w:p>
    <w:p>
      <w:pPr>
        <w:pStyle w:val="ListBullet"/>
      </w:pPr>
      <w:r>
        <w:t>1,300-Year-Old Mosque with Early Islamic Inscriptions Unearthed in Saudi Arabia</w:t>
      </w:r>
    </w:p>
    <w:p>
      <w:pPr>
        <w:pStyle w:val="NoSpacing"/>
      </w:pPr>
    </w:p>
    <w:p>
      <w:pPr>
        <w:pStyle w:val="NoSpacing"/>
      </w:pPr>
      <w:r>
        <w:rPr>
          <w:b/>
          <w:color w:val="EE0000"/>
        </w:rPr>
        <w:t>Negative Articles</w:t>
      </w:r>
    </w:p>
    <w:p>
      <w:pPr>
        <w:pStyle w:val="ListBullet"/>
      </w:pPr>
      <w:r>
        <w:t>Houthis seize strategic Red Sea islands as analysts warn of impending oil crunch</w:t>
      </w:r>
    </w:p>
    <w:p>
      <w:pPr>
        <w:pStyle w:val="ListBullet"/>
      </w:pPr>
      <w:r>
        <w:t>Oil nears $110 as Saudi pipeline shutdown deepens supply fears</w:t>
      </w:r>
    </w:p>
    <w:p>
      <w:pPr>
        <w:pStyle w:val="ListBullet"/>
      </w:pPr>
      <w:r>
        <w:t>Houthi Strikes on Saudi Arabia Upset Planned Talks With Iran</w:t>
      </w:r>
    </w:p>
    <w:p>
      <w:pPr>
        <w:pStyle w:val="ListBullet"/>
      </w:pPr>
      <w:r>
        <w:t>Yemen forces advance in Taiz; Houthis take key islands, attack Saudi Arabia</w:t>
      </w:r>
    </w:p>
    <w:p>
      <w:pPr>
        <w:pStyle w:val="ListBullet"/>
      </w:pPr>
      <w:r>
        <w:t>Yemen: New Attacks by Houthi Include Likely War Crimes</w:t>
      </w:r>
    </w:p>
    <w:p>
      <w:pPr>
        <w:pStyle w:val="NoSpacing"/>
      </w:pPr>
    </w:p>
    <w:p>
      <w:pPr>
        <w:pStyle w:val="NoSpacing"/>
      </w:pPr>
      <w:r>
        <w:rPr>
          <w:b/>
          <w:color w:val="4A86E8"/>
        </w:rPr>
        <w:t>Global</w:t>
      </w:r>
    </w:p>
    <w:p>
      <w:pPr>
        <w:pStyle w:val="ListBullet"/>
      </w:pPr>
      <w:r>
        <w:t>teamLab reveals plans for new attraction in Tokyo's Ariake district</w:t>
      </w:r>
    </w:p>
    <w:p>
      <w:pPr>
        <w:pStyle w:val="ListBullet"/>
      </w:pPr>
      <w:r>
        <w:t>Manchester Museum removes mummy from display to respect 'wishes of the dead'</w:t>
      </w:r>
    </w:p>
    <w:p>
      <w:pPr>
        <w:pStyle w:val="ListBullet"/>
      </w:pPr>
      <w:r>
        <w:t>Denisovan Fossils and Possible Tools Uncovered in China</w:t>
      </w:r>
    </w:p>
    <w:p>
      <w:pPr>
        <w:pStyle w:val="ListBullet"/>
      </w:pPr>
      <w:r>
        <w:t>Who Was the Mysterious Gallic Warrior Buried in Britain with a Unique 2,000-Year-Old Helmet?</w:t>
      </w:r>
    </w:p>
    <w:p>
      <w:pPr>
        <w:pStyle w:val="ListBullet"/>
      </w:pPr>
      <w:r>
        <w:t>Box Office: 'Practical Magic 2' Opens To $46M Global Box Office</w:t>
      </w:r>
    </w:p>
    <w:p>
      <w:pPr>
        <w:pStyle w:val="ListBullet"/>
      </w:pPr>
      <w:r>
        <w:t>Magda Butrym Spring 2027 Ready-to-Wear</w:t>
      </w:r>
    </w:p>
    <w:p>
      <w:pPr>
        <w:pStyle w:val="ListBullet"/>
      </w:pPr>
      <w:r>
        <w:t>SAGA Space Architects and 3DCP Group Complete 36-Unit 3D-Printed Student Village in Denmark</w:t>
      </w:r>
    </w:p>
    <w:p>
      <w:pPr>
        <w:pStyle w:val="ListBullet"/>
      </w:pPr>
      <w:r>
        <w:t>Denver restaurant snags coveted Michelin recognition</w:t>
      </w:r>
    </w:p>
    <w:p>
      <w:pPr>
        <w:pStyle w:val="ListBullet"/>
      </w:pPr>
      <w:r>
        <w:t>Book Deals: Week of September 14, 2026</w:t>
      </w:r>
    </w:p>
    <w:p>
      <w:pPr>
        <w:pStyle w:val="NoSpacing"/>
      </w:pPr>
    </w:p>
    <w:p>
      <w:r>
        <w:br w:type="page"/>
      </w:r>
    </w:p>
    <w:p>
      <w:pPr>
        <w:pStyle w:val="NoSpacing"/>
      </w:pPr>
      <w:r>
        <w:rPr>
          <w:b/>
          <w:color w:val="4A86E8"/>
        </w:rPr>
        <w:t>Saudi Arabia/Regional</w:t>
      </w:r>
    </w:p>
    <w:p>
      <w:pPr>
        <w:pStyle w:val="NoSpacing"/>
      </w:pPr>
      <w:r>
        <w:rPr>
          <w:b/>
          <w:color w:val="000000"/>
        </w:rPr>
        <w:t>Heritage:</w:t>
      </w:r>
    </w:p>
    <w:p>
      <w:pPr>
        <w:pStyle w:val="ListBullet"/>
      </w:pPr>
      <w:r>
        <w:rPr>
          <w:b w:val="0"/>
        </w:rPr>
        <w:t>Saudi archaeologists working under the Heritage Commission have uncovered a granite-built mosque dating to the first century of the Islamic calendar at the Al-Ma'malah site in Al-Aqiq Governorate, Al-Baha, its qibla wall carrying early Islamic inscriptions and its plan preserving a mihrab and square minaret. Coming out of a fourth excavation season, the find deepens the evidentiary base for the Kingdom's early-Islamic heritage in the south-west and hands the Ministry a concrete, research-led stewardship story that sits apart from the week's security headlines. (</w:t>
      </w:r>
      <w:hyperlink r:id="rId9">
        <w:r>
          <w:rPr>
            <w:color w:val="0000FF"/>
            <w:u w:val="single"/>
            <w:rFonts w:ascii="Times New Roman" w:hAnsi="Times New Roman"/>
          </w:rPr>
          <w:t xml:space="preserve">Arkeonews</w:t>
        </w:r>
      </w:hyperlink>
      <w:r>
        <w:rPr>
          <w:b w:val="0"/>
        </w:rPr>
        <w:t>)</w:t>
      </w:r>
    </w:p>
    <w:p>
      <w:pPr>
        <w:pStyle w:val="NoSpacing"/>
      </w:pPr>
    </w:p>
    <w:p>
      <w:pPr>
        <w:pStyle w:val="NoSpacing"/>
      </w:pPr>
      <w:r>
        <w:rPr>
          <w:b/>
          <w:color w:val="EE0000"/>
        </w:rPr>
        <w:t>Negative Articles</w:t>
      </w:r>
    </w:p>
    <w:p>
      <w:pPr>
        <w:pStyle w:val="ListBullet"/>
      </w:pPr>
      <w:r>
        <w:rPr>
          <w:b w:val="0"/>
        </w:rPr>
        <w:t>Houthi forces have seized several strategic islands off Yemen's Red Sea coast, with analysts warning the advance tightens pressure on shipping lanes and threatens Saudi export routes at a moment of acute oil-market anxiety. The framing positions the Kingdom as exposed on its western flank, a security narrative that can spill into how international audiences read the wider Saudi investment and tourism story. (</w:t>
      </w:r>
      <w:hyperlink r:id="rId10">
        <w:r>
          <w:rPr>
            <w:color w:val="0000FF"/>
            <w:u w:val="single"/>
            <w:rFonts w:ascii="Times New Roman" w:hAnsi="Times New Roman"/>
          </w:rPr>
          <w:t xml:space="preserve">The Guardian</w:t>
        </w:r>
      </w:hyperlink>
      <w:r>
        <w:rPr>
          <w:b w:val="0"/>
        </w:rPr>
        <w:t>)</w:t>
      </w:r>
    </w:p>
    <w:p>
      <w:pPr>
        <w:pStyle w:val="ListBullet"/>
      </w:pPr>
      <w:r>
        <w:rPr>
          <w:b w:val="0"/>
        </w:rPr>
        <w:t>Saudi Arabia's shutdown of its East-West (Petroline) crude pipeline after repeated attacks removed a critical alternative to the Strait of Hormuz and pushed oil towards $110 a barrel, with traders warning of a sharper repricing if the closure persists. Coverage of the Kingdom's severed export logistics reinforces a vulnerability narrative that runs counter to the resilient, open-for-business image cultural and tourism diplomacy works to project. (</w:t>
      </w:r>
      <w:hyperlink r:id="rId11">
        <w:r>
          <w:rPr>
            <w:color w:val="0000FF"/>
            <w:u w:val="single"/>
            <w:rFonts w:ascii="Times New Roman" w:hAnsi="Times New Roman"/>
          </w:rPr>
          <w:t xml:space="preserve">The National</w:t>
        </w:r>
      </w:hyperlink>
      <w:r>
        <w:rPr>
          <w:b w:val="0"/>
        </w:rPr>
        <w:t>)</w:t>
      </w:r>
    </w:p>
    <w:p>
      <w:pPr>
        <w:pStyle w:val="ListBullet"/>
      </w:pPr>
      <w:r>
        <w:rPr>
          <w:b w:val="0"/>
        </w:rPr>
        <w:t>The escalation has forced the postponement of planned Saudi-Iran talks in Oman, with reporting casting the disruption as a diplomatic setback that leaves Riyadh reacting to events rather than shaping them. A stalled de-escalation track keeps the Kingdom anchored to a conflict storyline at precisely the time its cultural calendar seeks international attention on other terms. (</w:t>
      </w:r>
      <w:hyperlink r:id="rId12">
        <w:r>
          <w:rPr>
            <w:color w:val="0000FF"/>
            <w:u w:val="single"/>
            <w:rFonts w:ascii="Times New Roman" w:hAnsi="Times New Roman"/>
          </w:rPr>
          <w:t xml:space="preserve">Foreign Policy</w:t>
        </w:r>
      </w:hyperlink>
      <w:r>
        <w:rPr>
          <w:b w:val="0"/>
        </w:rPr>
        <w:t>)</w:t>
      </w:r>
    </w:p>
    <w:p>
      <w:pPr>
        <w:pStyle w:val="ListBullet"/>
      </w:pPr>
      <w:r>
        <w:rPr>
          <w:b w:val="0"/>
        </w:rPr>
        <w:t>Al Jazeera's coverage of the fighting foregrounds Saudi-backed government advances in Taiz and Saudi airstrikes on Houthi positions across several Yemeni governorates, framing the Kingdom as an active party to the conflict rather than only a target of Houthi attacks. As Qatari state-funded coverage, its emphasis reflects Doha's editorial lens, but the aggressor framing is the sharpest reputational angle in circulation this cycle and is likely to be echoed by adversarial outlets. (</w:t>
      </w:r>
      <w:hyperlink r:id="rId13">
        <w:r>
          <w:rPr>
            <w:color w:val="0000FF"/>
            <w:u w:val="single"/>
            <w:rFonts w:ascii="Times New Roman" w:hAnsi="Times New Roman"/>
          </w:rPr>
          <w:t xml:space="preserve">Al Jazeera</w:t>
        </w:r>
      </w:hyperlink>
      <w:r>
        <w:rPr>
          <w:b w:val="0"/>
        </w:rPr>
        <w:t>)</w:t>
      </w:r>
    </w:p>
    <w:p>
      <w:pPr>
        <w:pStyle w:val="ListBullet"/>
      </w:pPr>
      <w:r>
        <w:rPr>
          <w:b w:val="0"/>
        </w:rPr>
        <w:t>Human Rights Watch has assessed that recent Houthi attacks on Red Sea and Gulf of Aden shipping, including Saudi-flagged vessels, likely amount to war crimes, while situating the finding within the broader Saudi-led coalition conflict. Although the criticism falls primarily on the Houthis, the rights-body framing keeps the coalition and the wider war in the reputational frame that cultural messaging will need to work around. (</w:t>
      </w:r>
      <w:hyperlink r:id="rId14">
        <w:r>
          <w:rPr>
            <w:color w:val="0000FF"/>
            <w:u w:val="single"/>
            <w:rFonts w:ascii="Times New Roman" w:hAnsi="Times New Roman"/>
          </w:rPr>
          <w:t xml:space="preserve">Human Rights Watch</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teamLab has revealed plans for its largest museum to date, a roughly 33,000-square-metre venue in Tokyo's Ariake district slated to open in 2032, extending the studio's immersive, digitally native model of exhibition-making. The scale of the commitment underlines how far experiential, technology-led museum formats have moved from novelty to anchor attraction, a reference point for Saudi institutions building new visitor-facing cultural venues. (</w:t>
      </w:r>
      <w:hyperlink r:id="rId15">
        <w:r>
          <w:rPr>
            <w:color w:val="0000FF"/>
            <w:u w:val="single"/>
            <w:rFonts w:ascii="Times New Roman" w:hAnsi="Times New Roman"/>
          </w:rPr>
          <w:t xml:space="preserve">Blooloop</w:t>
        </w:r>
      </w:hyperlink>
      <w:r>
        <w:rPr>
          <w:b w:val="0"/>
        </w:rPr>
        <w:t>)</w:t>
      </w:r>
    </w:p>
    <w:p>
      <w:pPr>
        <w:pStyle w:val="ListBullet"/>
      </w:pPr>
      <w:r>
        <w:rPr>
          <w:b w:val="0"/>
        </w:rPr>
        <w:t>Manchester Museum has removed the 2,700-year-old mummified remains of Asru from public display, citing evolving ethics around exhibiting human remains and consultation on the 'wishes of the dead'. The decision reflects a wider reckoning across the museum sector over how ancestral and human material is shown, a debate Gulf museums entering the global stage will increasingly be expected to navigate. (</w:t>
      </w:r>
      <w:hyperlink r:id="rId16">
        <w:r>
          <w:rPr>
            <w:color w:val="0000FF"/>
            <w:u w:val="single"/>
            <w:rFonts w:ascii="Times New Roman" w:hAnsi="Times New Roman"/>
          </w:rPr>
          <w:t xml:space="preserve">Blooloop</w:t>
        </w:r>
      </w:hyperlink>
      <w:r>
        <w:rPr>
          <w:b w:val="0"/>
        </w:rPr>
        <w:t>)</w:t>
      </w:r>
    </w:p>
    <w:p>
      <w:pPr>
        <w:pStyle w:val="NoSpacing"/>
      </w:pPr>
      <w:r>
        <w:rPr>
          <w:b/>
          <w:color w:val="000000"/>
        </w:rPr>
        <w:t>Heritage:</w:t>
      </w:r>
    </w:p>
    <w:p>
      <w:pPr>
        <w:pStyle w:val="ListBullet"/>
      </w:pPr>
      <w:r>
        <w:rPr>
          <w:b w:val="0"/>
        </w:rPr>
        <w:t>Researchers have reported Denisovan fossils and possible stone tools at a site in China, adding rare physical evidence to the still-thin record of a human lineage known mostly from genetics. The find is a reminder of how a single well-documented excavation can reshape a global narrative, the same dynamic that gives Saudi Arabia's own deep-time archaeology its international pull. (</w:t>
      </w:r>
      <w:hyperlink r:id="rId17">
        <w:r>
          <w:rPr>
            <w:color w:val="0000FF"/>
            <w:u w:val="single"/>
            <w:rFonts w:ascii="Times New Roman" w:hAnsi="Times New Roman"/>
          </w:rPr>
          <w:t xml:space="preserve">Archaeology Magazine</w:t>
        </w:r>
      </w:hyperlink>
      <w:r>
        <w:rPr>
          <w:b w:val="0"/>
        </w:rPr>
        <w:t>)</w:t>
      </w:r>
    </w:p>
    <w:p>
      <w:pPr>
        <w:pStyle w:val="ListBullet"/>
      </w:pPr>
      <w:r>
        <w:rPr>
          <w:b w:val="0"/>
        </w:rPr>
        <w:t>Archaeologists in Britain are working to identify a high-status Iron Age warrior buried with a rare 2,000-year-old helmet, a discovery drawing wide interest for what it reveals about Gallic and early British elite culture. Coverage of the burial shows the enduring public appetite for heritage storytelling built around a single evocative object, a model the Kingdom's own museums and sites can draw on. (</w:t>
      </w:r>
      <w:hyperlink r:id="rId18">
        <w:r>
          <w:rPr>
            <w:color w:val="0000FF"/>
            <w:u w:val="single"/>
            <w:rFonts w:ascii="Times New Roman" w:hAnsi="Times New Roman"/>
          </w:rPr>
          <w:t xml:space="preserve">Arkeonews</w:t>
        </w:r>
      </w:hyperlink>
      <w:r>
        <w:rPr>
          <w:b w:val="0"/>
        </w:rPr>
        <w:t>)</w:t>
      </w:r>
    </w:p>
    <w:p>
      <w:pPr>
        <w:pStyle w:val="NoSpacing"/>
      </w:pPr>
      <w:r>
        <w:rPr>
          <w:b/>
          <w:color w:val="000000"/>
        </w:rPr>
        <w:t>Film:</w:t>
      </w:r>
    </w:p>
    <w:p>
      <w:pPr>
        <w:pStyle w:val="ListBullet"/>
      </w:pPr>
      <w:r>
        <w:rPr>
          <w:b w:val="0"/>
        </w:rPr>
        <w:t>Warner Bros and Alcon's 'Practical Magic 2', reuniting Sandra Bullock and Nicole Kidman, opened to a soft $46m worldwide, ending Spider-Man's six-week run at the top but landing below studio expectations. The muted debut of a starry legacy sequel underscores how uncertain theatrical economics remain, useful context for Saudi film-sector bodies weighing where production incentives and festival strategy deliver the most durable returns. (</w:t>
      </w:r>
      <w:hyperlink r:id="rId19">
        <w:r>
          <w:rPr>
            <w:color w:val="0000FF"/>
            <w:u w:val="single"/>
            <w:rFonts w:ascii="Times New Roman" w:hAnsi="Times New Roman"/>
          </w:rPr>
          <w:t xml:space="preserve">Deadline</w:t>
        </w:r>
      </w:hyperlink>
      <w:r>
        <w:rPr>
          <w:b w:val="0"/>
        </w:rPr>
        <w:t>)</w:t>
      </w:r>
    </w:p>
    <w:p>
      <w:pPr>
        <w:pStyle w:val="NoSpacing"/>
      </w:pPr>
      <w:r>
        <w:rPr>
          <w:b/>
          <w:color w:val="000000"/>
        </w:rPr>
        <w:t>Fashion:</w:t>
      </w:r>
    </w:p>
    <w:p>
      <w:pPr>
        <w:pStyle w:val="ListBullet"/>
      </w:pPr>
      <w:r>
        <w:rPr>
          <w:b w:val="0"/>
        </w:rPr>
        <w:t>Polish designer Magda Butrym staged her New York Fashion Week runway debut with a Spring 2027 collection that critics read as a confident move onto the global calendar. Her arrival illustrates how emerging designers are using the major fashion weeks as launch platforms, the same pathway Saudi Arabia's fashion talent pipeline and Riyadh Fashion Week are being built to feed. (</w:t>
      </w:r>
      <w:hyperlink r:id="rId20">
        <w:r>
          <w:rPr>
            <w:color w:val="0000FF"/>
            <w:u w:val="single"/>
            <w:rFonts w:ascii="Times New Roman" w:hAnsi="Times New Roman"/>
          </w:rPr>
          <w:t xml:space="preserve">WWD</w:t>
        </w:r>
      </w:hyperlink>
      <w:r>
        <w:rPr>
          <w:b w:val="0"/>
        </w:rPr>
        <w:t>)</w:t>
      </w:r>
    </w:p>
    <w:p>
      <w:pPr>
        <w:pStyle w:val="NoSpacing"/>
      </w:pPr>
      <w:r>
        <w:rPr>
          <w:b/>
          <w:color w:val="000000"/>
        </w:rPr>
        <w:t>Architecture and Design:</w:t>
      </w:r>
    </w:p>
    <w:p>
      <w:pPr>
        <w:pStyle w:val="ListBullet"/>
      </w:pPr>
      <w:r>
        <w:rPr>
          <w:b w:val="0"/>
        </w:rPr>
        <w:t>SAGA Space Architects and the 3DCP Group have completed a 36-unit student village in Denmark built with 3D-printed concrete, one of the larger residential applications of the technique to date. The project signals that additive construction is maturing from prototype to delivered housing, a design and building-technology trend directly relevant to the Kingdom's giga-project and cultural-infrastructure ambitions. (</w:t>
      </w:r>
      <w:hyperlink r:id="rId21">
        <w:r>
          <w:rPr>
            <w:color w:val="0000FF"/>
            <w:u w:val="single"/>
            <w:rFonts w:ascii="Times New Roman" w:hAnsi="Times New Roman"/>
          </w:rPr>
          <w:t xml:space="preserve">ArchDaily</w:t>
        </w:r>
      </w:hyperlink>
      <w:r>
        <w:rPr>
          <w:b w:val="0"/>
        </w:rPr>
        <w:t>)</w:t>
      </w:r>
    </w:p>
    <w:p>
      <w:pPr>
        <w:pStyle w:val="NoSpacing"/>
      </w:pPr>
      <w:r>
        <w:rPr>
          <w:b/>
          <w:color w:val="000000"/>
        </w:rPr>
        <w:t>Culinary Arts:</w:t>
      </w:r>
    </w:p>
    <w:p>
      <w:pPr>
        <w:pStyle w:val="ListBullet"/>
      </w:pPr>
      <w:r>
        <w:rPr>
          <w:b w:val="0"/>
        </w:rPr>
        <w:t>The MICHELIN Guide expanded to cover Colorado statewide for the first time, awarding its sole new star to Milpero, a Denver tasting-menu restaurant led by chef Johnny Curiel. The guide's geographic expansion shows how gastronomic recognition is being used to put emerging destinations on the culinary map, a template Saudi Arabia's own culinary-tourism push can study as it develops its dining and food-heritage offer. (</w:t>
      </w:r>
      <w:hyperlink r:id="rId22">
        <w:r>
          <w:rPr>
            <w:color w:val="0000FF"/>
            <w:u w:val="single"/>
            <w:rFonts w:ascii="Times New Roman" w:hAnsi="Times New Roman"/>
          </w:rPr>
          <w:t xml:space="preserve">The Colorado Sun</w:t>
        </w:r>
      </w:hyperlink>
      <w:r>
        <w:rPr>
          <w:b w:val="0"/>
        </w:rPr>
        <w:t>)</w:t>
      </w:r>
    </w:p>
    <w:p>
      <w:pPr>
        <w:pStyle w:val="NoSpacing"/>
      </w:pPr>
      <w:r>
        <w:rPr>
          <w:b/>
          <w:color w:val="000000"/>
        </w:rPr>
        <w:t>Literature, Publishing, and Translation:</w:t>
      </w:r>
    </w:p>
    <w:p>
      <w:pPr>
        <w:pStyle w:val="ListBullet"/>
      </w:pPr>
      <w:r>
        <w:rPr>
          <w:b w:val="0"/>
        </w:rPr>
        <w:t>Publishers Weekly's weekly rights roundup logged a fresh run of book deals and auction wins, from literary fiction to commercial titles, mapping where publishers are placing their bets this season. The steady cadence of rights trading is the connective tissue of the global publishing economy, the same market Saudi Arabia's Literature, Publishing and Translation Commission is working to plug into through its international book-fair and translation programmes. (</w:t>
      </w:r>
      <w:hyperlink r:id="rId23">
        <w:r>
          <w:rPr>
            <w:color w:val="0000FF"/>
            <w:u w:val="single"/>
            <w:rFonts w:ascii="Times New Roman" w:hAnsi="Times New Roman"/>
          </w:rPr>
          <w:t xml:space="preserve">Publishers Weekly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escalation hardens a Saudi vulnerability narrative</w:t>
      </w:r>
    </w:p>
    <w:p>
      <w:pPr>
        <w:pStyle w:val="NoSpacing"/>
      </w:pPr>
      <w:r>
        <w:t>This week's Houthi advance clusters several reinforcing storylines into one reputational risk: the seizure of strategic Red Sea islands and warnings of an oil crunch, the shutdown of the East-West pipeline pushing crude towards $110, and the resulting postponement of Saudi-Iran de-escalation talks. Taken together, international coverage frames the Kingdom as economically exposed and diplomatically reactive, a security-and-markets narrative that can bleed into how global audiences read unrelated cultural investment and tourism messaging.</w:t>
      </w:r>
    </w:p>
    <w:p>
      <w:pPr>
        <w:pStyle w:val="NoSpacing"/>
      </w:pPr>
      <w:r>
        <w:rPr>
          <w:b/>
        </w:rPr>
        <w:t xml:space="preserve">Source: </w:t>
      </w:r>
      <w:hyperlink r:id="rId11">
        <w:r>
          <w:rPr>
            <w:color w:val="0000FF"/>
            <w:u w:val="single"/>
            <w:rFonts w:ascii="Times New Roman" w:hAnsi="Times New Roman"/>
          </w:rPr>
          <w:t xml:space="preserve">The National</w:t>
        </w:r>
      </w:hyperlink>
      <w:r>
        <w:rPr>
          <w:b w:val="0"/>
        </w:rPr>
        <w:t xml:space="preserve">, </w:t>
      </w:r>
      <w:hyperlink r:id="rId12">
        <w:r>
          <w:rPr>
            <w:color w:val="0000FF"/>
            <w:u w:val="single"/>
            <w:rFonts w:ascii="Times New Roman" w:hAnsi="Times New Roman"/>
          </w:rPr>
          <w:t xml:space="preserve">Foreign Policy</w:t>
        </w:r>
      </w:hyperlink>
      <w:r>
        <w:rPr>
          <w:b w:val="0"/>
        </w:rPr>
        <w:t xml:space="preserve">, </w:t>
      </w:r>
      <w:hyperlink r:id="rId10">
        <w:r>
          <w:rPr>
            <w:color w:val="0000FF"/>
            <w:u w:val="single"/>
            <w:rFonts w:ascii="Times New Roman" w:hAnsi="Times New Roman"/>
          </w:rPr>
          <w:t xml:space="preserve">The Guardian</w:t>
        </w:r>
      </w:hyperlink>
    </w:p>
    <w:p>
      <w:pPr>
        <w:pStyle w:val="NoSpacing"/>
      </w:pPr>
      <w:r>
        <w:rPr>
          <w:b/>
        </w:rPr>
        <w:t xml:space="preserve">Consideration: </w:t>
      </w:r>
      <w:r>
        <w:t>Keep the Ministry's cultural programming visibly distinct from the security and oil-market story by foregrounding delivery, public access, heritage stewardship and Saudi talent, so that cultural communications are not read through the lens of crisis coverage.</w:t>
      </w:r>
    </w:p>
    <w:p>
      <w:pPr>
        <w:pStyle w:val="NoSpacing"/>
      </w:pPr>
    </w:p>
    <w:p>
      <w:pPr>
        <w:pStyle w:val="NoSpacing"/>
      </w:pPr>
      <w:r>
        <w:rPr>
          <w:b/>
          <w:color w:val="000000"/>
        </w:rPr>
        <w:t>2. Conflict-conduct and legitimacy scrutiny gathers around the coalition</w:t>
      </w:r>
    </w:p>
    <w:p>
      <w:pPr>
        <w:pStyle w:val="NoSpacing"/>
      </w:pPr>
      <w:r>
        <w:t>A second, distinct thread turns on how the Kingdom's own conduct is framed: Al Jazeera foregrounds Saudi airstrikes across Yemeni governorates, Human Rights Watch situates shipping attacks within the coalition conflict as likely war crimes, and an opinion piece argues that compounding military, economic and diplomatic pressures are testing the leadership's standing. These are adversarial and commentary framings rather than settled fact, but together they keep questions of conduct and legitimacy in circulation.</w:t>
      </w:r>
    </w:p>
    <w:p>
      <w:pPr>
        <w:pStyle w:val="NoSpacing"/>
      </w:pPr>
      <w:r>
        <w:rPr>
          <w:b/>
        </w:rPr>
        <w:t xml:space="preserve">Source: </w:t>
      </w:r>
      <w:hyperlink r:id="rId13">
        <w:r>
          <w:rPr>
            <w:color w:val="0000FF"/>
            <w:u w:val="single"/>
            <w:rFonts w:ascii="Times New Roman" w:hAnsi="Times New Roman"/>
          </w:rPr>
          <w:t xml:space="preserve">Al Jazeera</w:t>
        </w:r>
      </w:hyperlink>
      <w:r>
        <w:rPr>
          <w:b w:val="0"/>
        </w:rPr>
        <w:t xml:space="preserve">, </w:t>
      </w:r>
      <w:hyperlink r:id="rId14">
        <w:r>
          <w:rPr>
            <w:color w:val="0000FF"/>
            <w:u w:val="single"/>
            <w:rFonts w:ascii="Times New Roman" w:hAnsi="Times New Roman"/>
          </w:rPr>
          <w:t xml:space="preserve">Human Rights Watch</w:t>
        </w:r>
      </w:hyperlink>
      <w:r>
        <w:rPr>
          <w:b w:val="0"/>
        </w:rPr>
        <w:t xml:space="preserve">, </w:t>
      </w:r>
      <w:hyperlink r:id="rId24">
        <w:r>
          <w:rPr>
            <w:color w:val="0000FF"/>
            <w:u w:val="single"/>
            <w:rFonts w:ascii="Times New Roman" w:hAnsi="Times New Roman"/>
          </w:rPr>
          <w:t xml:space="preserve">Eurasia Review</w:t>
        </w:r>
      </w:hyperlink>
    </w:p>
    <w:p>
      <w:pPr>
        <w:pStyle w:val="NoSpacing"/>
      </w:pPr>
      <w:r>
        <w:rPr>
          <w:b/>
        </w:rPr>
        <w:t xml:space="preserve">Consideration: </w:t>
      </w:r>
      <w:r>
        <w:t>Hold cultural diplomacy on its own credible footing — Saudi artists and institutions, genuine cultural exchange, safe international participation and institutional professionalism — rather than engaging the conflict framing directly, while noting that the Eurasia Review piece is an op-ed and should be weighted as commentary.</w:t>
      </w:r>
    </w:p>
    <w:p>
      <w:pPr>
        <w:pStyle w:val="NoSpacing"/>
      </w:pPr>
    </w:p>
    <w:p>
      <w:pPr>
        <w:pStyle w:val="NoSpacing"/>
      </w:pPr>
      <w:r>
        <w:rPr>
          <w:b/>
          <w:color w:val="A66500"/>
        </w:rPr>
        <w:t>Opportunities</w:t>
      </w:r>
    </w:p>
    <w:p>
      <w:pPr>
        <w:pStyle w:val="NoSpacing"/>
      </w:pPr>
      <w:r>
        <w:rPr>
          <w:b/>
          <w:color w:val="000000"/>
        </w:rPr>
        <w:t>1. Early-Islamic discovery strengthens an evidence-led heritage narrative</w:t>
      </w:r>
    </w:p>
    <w:p>
      <w:pPr>
        <w:pStyle w:val="NoSpacing"/>
      </w:pPr>
      <w:r>
        <w:t>The Heritage Commission's first-century mosque find at Al-Ma'malah in Al-Baha is a concrete, research-backed heritage story rather than a forward-looking promise, and it lands squarely in the early-Islamic period that carries deep resonance for Saudi and Muslim audiences. It offers a credible counterweight to the week's security-dominated coverage and a way to keep the Kingdom's cultural-stewardship story in view.</w:t>
      </w:r>
    </w:p>
    <w:p>
      <w:pPr>
        <w:pStyle w:val="NoSpacing"/>
      </w:pPr>
      <w:r>
        <w:rPr>
          <w:b/>
        </w:rPr>
        <w:t xml:space="preserve">Source: </w:t>
      </w:r>
      <w:hyperlink r:id="rId9">
        <w:r>
          <w:rPr>
            <w:color w:val="0000FF"/>
            <w:u w:val="single"/>
            <w:rFonts w:ascii="Times New Roman" w:hAnsi="Times New Roman"/>
          </w:rPr>
          <w:t xml:space="preserve">Arkeonews</w:t>
        </w:r>
      </w:hyperlink>
    </w:p>
    <w:p>
      <w:pPr>
        <w:pStyle w:val="NoSpacing"/>
      </w:pPr>
      <w:r>
        <w:rPr>
          <w:b/>
        </w:rPr>
        <w:t xml:space="preserve">Consideration: </w:t>
      </w:r>
      <w:r>
        <w:t>The Ministry can connect this find to its broader heritage narrative — the UNESCO-inscribed properties, ongoing excavation seasons and site interpretation — presenting it as one data point in a sustained, professionally delivered programme rather than an isolated announcement.</w:t>
      </w:r>
    </w:p>
    <w:p>
      <w:pPr>
        <w:pStyle w:val="NoSpacing"/>
      </w:pPr>
    </w:p>
    <w:p>
      <w:pPr>
        <w:pStyle w:val="NoSpacing"/>
      </w:pPr>
      <w:r>
        <w:rPr>
          <w:b/>
          <w:color w:val="000000"/>
        </w:rPr>
        <w:t>2. Global culture-sector shifts offer benchmarks for Saudi institutions</w:t>
      </w:r>
    </w:p>
    <w:p>
      <w:pPr>
        <w:pStyle w:val="NoSpacing"/>
      </w:pPr>
      <w:r>
        <w:t>Several international stories this cycle point to trends the Kingdom's own cultural build-out can learn from: the rise of large-scale immersive museums, a sharpening ethics around how museums display human remains, gastronomic recognition being used to put emerging destinations on the map, and 3D-printed construction maturing into delivered housing. Each maps onto a live Saudi ambition, from new museum venues and culinary tourism to cultural infrastructure.</w:t>
      </w:r>
    </w:p>
    <w:p>
      <w:pPr>
        <w:pStyle w:val="NoSpacing"/>
      </w:pPr>
      <w:r>
        <w:rPr>
          <w:b/>
        </w:rPr>
        <w:t xml:space="preserve">Source: </w:t>
      </w:r>
      <w:hyperlink r:id="rId15">
        <w:r>
          <w:rPr>
            <w:color w:val="0000FF"/>
            <w:u w:val="single"/>
            <w:rFonts w:ascii="Times New Roman" w:hAnsi="Times New Roman"/>
          </w:rPr>
          <w:t xml:space="preserve">Blooloop</w:t>
        </w:r>
      </w:hyperlink>
      <w:r>
        <w:rPr>
          <w:b w:val="0"/>
        </w:rPr>
        <w:t xml:space="preserve">, </w:t>
      </w:r>
      <w:hyperlink r:id="rId22">
        <w:r>
          <w:rPr>
            <w:color w:val="0000FF"/>
            <w:u w:val="single"/>
            <w:rFonts w:ascii="Times New Roman" w:hAnsi="Times New Roman"/>
          </w:rPr>
          <w:t xml:space="preserve">The Colorado Sun</w:t>
        </w:r>
      </w:hyperlink>
      <w:r>
        <w:rPr>
          <w:b w:val="0"/>
        </w:rPr>
        <w:t xml:space="preserve">, </w:t>
      </w:r>
      <w:hyperlink r:id="rId21">
        <w:r>
          <w:rPr>
            <w:color w:val="0000FF"/>
            <w:u w:val="single"/>
            <w:rFonts w:ascii="Times New Roman" w:hAnsi="Times New Roman"/>
          </w:rPr>
          <w:t xml:space="preserve">ArchDaily</w:t>
        </w:r>
      </w:hyperlink>
    </w:p>
    <w:p>
      <w:pPr>
        <w:pStyle w:val="NoSpacing"/>
      </w:pPr>
      <w:r>
        <w:rPr>
          <w:b/>
        </w:rPr>
        <w:t xml:space="preserve">Consideration: </w:t>
      </w:r>
      <w:r>
        <w:t>Commission teams can treat these as practical reference points — visitor-experience models for new museums, an ethics framework for heritage and human-remains display, culinary-tourism recognition strategies, and construction-technology options — folding them into planning rather than tracking them as external news.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keonews.net/1300-year-old-mosque-with-early-islamic-inscriptions-unearthed-in-saudi-arabia/" TargetMode="External"/><Relationship Id="rId10" Type="http://schemas.openxmlformats.org/officeDocument/2006/relationships/hyperlink" Target="https://www.theguardian.com/world/2026/sep/15/houthi-rebels-seize-red-sea-hanish-islands-saudi-oil-warning" TargetMode="External"/><Relationship Id="rId11" Type="http://schemas.openxmlformats.org/officeDocument/2006/relationships/hyperlink" Target="https://www.thenationalnews.com/business/energy/2026/09/14/oil-nears-108-after-saudi-arabia-shuts-pipeline-amid-attacks/" TargetMode="External"/><Relationship Id="rId12" Type="http://schemas.openxmlformats.org/officeDocument/2006/relationships/hyperlink" Target="https://foreignpolicy.com/2026/09/14/houthi-strikes-yemen-red-sea-saudi-arabia-iran-east-west-oil-pipeline/" TargetMode="External"/><Relationship Id="rId13" Type="http://schemas.openxmlformats.org/officeDocument/2006/relationships/hyperlink" Target="https://www.aljazeera.com/news/2026/9/14/yemen-govt-forces-advance-in-taiz-as-houthis-claim-attack-on-saudi-arabia" TargetMode="External"/><Relationship Id="rId14" Type="http://schemas.openxmlformats.org/officeDocument/2006/relationships/hyperlink" Target="https://www.hrw.org/news/2026/09/15/yemen-new-attacks-by-houthi-include-likely-war-crimes" TargetMode="External"/><Relationship Id="rId15" Type="http://schemas.openxmlformats.org/officeDocument/2006/relationships/hyperlink" Target="https://blooloop.com/news/teamlab-new-exhibition-tokyo-ariake" TargetMode="External"/><Relationship Id="rId16" Type="http://schemas.openxmlformats.org/officeDocument/2006/relationships/hyperlink" Target="https://blooloop.com/news/manchester-museum-mummy-removed-display" TargetMode="External"/><Relationship Id="rId17" Type="http://schemas.openxmlformats.org/officeDocument/2006/relationships/hyperlink" Target="https://archaeology.org/news/2026/09/14/denisovan-fossils-and-possible-tools-uncovered-in-china/" TargetMode="External"/><Relationship Id="rId18" Type="http://schemas.openxmlformats.org/officeDocument/2006/relationships/hyperlink" Target="https://arkeonews.net/who-was-the-mysterious-gallic-warrior-buried-in-britain-with-a-unique-2000-year-old-helmet/" TargetMode="External"/><Relationship Id="rId19" Type="http://schemas.openxmlformats.org/officeDocument/2006/relationships/hyperlink" Target="https://deadline.com/2026/09/box-office-practical-magic-2-global-1237100627/" TargetMode="External"/><Relationship Id="rId20" Type="http://schemas.openxmlformats.org/officeDocument/2006/relationships/hyperlink" Target="https://wwd.com/runway/spring-2027/new-york/magda-butrym/review/" TargetMode="External"/><Relationship Id="rId21" Type="http://schemas.openxmlformats.org/officeDocument/2006/relationships/hyperlink" Target="https://www.archdaily.com/1185029/saga-space-architects-and-3dcp-group-complete-36-unit-3d-printed-student-village-in-denmark" TargetMode="External"/><Relationship Id="rId22" Type="http://schemas.openxmlformats.org/officeDocument/2006/relationships/hyperlink" Target="https://coloradosun.com/2026/09/14/one-michelin-star-for-colorado-restaurants/" TargetMode="External"/><Relationship Id="rId23" Type="http://schemas.openxmlformats.org/officeDocument/2006/relationships/hyperlink" Target="https://www.publishersweekly.com/pw/by-topic/industry-news/book-deals/article/101220-book-deals-week-of-september-14-2026.html" TargetMode="External"/><Relationship Id="rId24" Type="http://schemas.openxmlformats.org/officeDocument/2006/relationships/hyperlink" Target="https://www.eurasiareview.com/15092026-how-cascading-crises-are-testing-saudi-arabias-foundations-op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