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11 September 2026</w:t>
      </w:r>
    </w:p>
    <w:p>
      <w:pPr>
        <w:pStyle w:val="NoSpacing"/>
      </w:pPr>
    </w:p>
    <w:p>
      <w:pPr>
        <w:pStyle w:val="NoSpacing"/>
      </w:pPr>
      <w:r>
        <w:rPr>
          <w:b/>
          <w:color w:val="4A86E8"/>
        </w:rPr>
        <w:t>Saudi Arabia/Regional</w:t>
      </w:r>
    </w:p>
    <w:p>
      <w:pPr>
        <w:pStyle w:val="ListBullet"/>
      </w:pPr>
      <w:r>
        <w:t>Heritage Commission Documents Over 74,000 Cultural Assets</w:t>
      </w:r>
    </w:p>
    <w:p>
      <w:pPr>
        <w:pStyle w:val="ListBullet"/>
      </w:pPr>
      <w:r>
        <w:t>Eight films supported by Red Sea Film Foundation to be presented at TIFF in Canada</w:t>
      </w:r>
    </w:p>
    <w:p>
      <w:pPr>
        <w:pStyle w:val="ListBullet"/>
      </w:pPr>
      <w:r>
        <w:t>Saudi Arabia's music revolution: From underground scene to global stage</w:t>
      </w:r>
    </w:p>
    <w:p>
      <w:pPr>
        <w:pStyle w:val="ListBullet"/>
      </w:pPr>
      <w:r>
        <w:t>Saudi National Day takes shape</w:t>
      </w:r>
    </w:p>
    <w:p>
      <w:pPr>
        <w:pStyle w:val="NoSpacing"/>
      </w:pPr>
    </w:p>
    <w:p>
      <w:pPr>
        <w:pStyle w:val="NoSpacing"/>
      </w:pPr>
      <w:r>
        <w:rPr>
          <w:b/>
          <w:color w:val="EE0000"/>
        </w:rPr>
        <w:t>Negative Articles</w:t>
      </w:r>
    </w:p>
    <w:p>
      <w:pPr>
        <w:pStyle w:val="ListBullet"/>
      </w:pPr>
      <w:r>
        <w:t>Fighting escalates in Yemen; Houthi attacks trigger alerts in Saudi Arabia</w:t>
      </w:r>
    </w:p>
    <w:p>
      <w:pPr>
        <w:pStyle w:val="ListBullet"/>
      </w:pPr>
      <w:r>
        <w:t>Houthis seize key Yemeni port of Mocha in drive to take control of Red Sea coast</w:t>
      </w:r>
    </w:p>
    <w:p>
      <w:pPr>
        <w:pStyle w:val="ListBullet"/>
      </w:pPr>
      <w:r>
        <w:t>Saudi Arabia says it will take 'all measures to deter Houthi attacks'</w:t>
      </w:r>
    </w:p>
    <w:p>
      <w:pPr>
        <w:pStyle w:val="ListBullet"/>
      </w:pPr>
      <w:r>
        <w:t>Houthi-Saudi Fighting Escalates as Rebels Push Toward Key Strait</w:t>
      </w:r>
    </w:p>
    <w:p>
      <w:pPr>
        <w:pStyle w:val="NoSpacing"/>
      </w:pPr>
    </w:p>
    <w:p>
      <w:pPr>
        <w:pStyle w:val="NoSpacing"/>
      </w:pPr>
      <w:r>
        <w:rPr>
          <w:b/>
          <w:color w:val="4A86E8"/>
        </w:rPr>
        <w:t>Global</w:t>
      </w:r>
    </w:p>
    <w:p>
      <w:pPr>
        <w:pStyle w:val="ListBullet"/>
      </w:pPr>
      <w:r>
        <w:t>Maurizio Cattelan's 'Night' exhibition opens in Berlin</w:t>
      </w:r>
    </w:p>
    <w:p>
      <w:pPr>
        <w:pStyle w:val="ListBullet"/>
      </w:pPr>
      <w:r>
        <w:t>Writers for Artforum, The New York Times and others win $50,000 Rabkin Prizes</w:t>
      </w:r>
    </w:p>
    <w:p>
      <w:pPr>
        <w:pStyle w:val="ListBullet"/>
      </w:pPr>
      <w:r>
        <w:t>Worth the Wait! The Bayeux Tapestry's British Museum Debut Is a Hard-Won Triumph</w:t>
      </w:r>
    </w:p>
    <w:p>
      <w:pPr>
        <w:pStyle w:val="ListBullet"/>
      </w:pPr>
      <w:r>
        <w:t>Sian Heder Says 'Collective Action Matters' as 'Being Heumann' Opens Toronto Film Festival</w:t>
      </w:r>
    </w:p>
    <w:p>
      <w:pPr>
        <w:pStyle w:val="ListBullet"/>
      </w:pPr>
      <w:r>
        <w:t>Diane von Furstenberg Spring 2027: A Modern Rebellious Spirit</w:t>
      </w:r>
    </w:p>
    <w:p>
      <w:pPr>
        <w:pStyle w:val="ListBullet"/>
      </w:pPr>
      <w:r>
        <w:t>Princess Diana's Revenge Dress Returns to Sotheby's With $300,000 Price Tag</w:t>
      </w:r>
    </w:p>
    <w:p>
      <w:pPr>
        <w:pStyle w:val="ListBullet"/>
      </w:pPr>
      <w:r>
        <w:t>Ella Langley Leads CMA Awards Nominations; Taylor Swift Back In Mix With 'Toy Story' Song</w:t>
      </w:r>
    </w:p>
    <w:p>
      <w:pPr>
        <w:pStyle w:val="NoSpacing"/>
      </w:pPr>
    </w:p>
    <w:p>
      <w:r>
        <w:br w:type="page"/>
      </w:r>
    </w:p>
    <w:p>
      <w:pPr>
        <w:pStyle w:val="NoSpacing"/>
      </w:pPr>
      <w:r>
        <w:rPr>
          <w:b/>
          <w:color w:val="4A86E8"/>
        </w:rPr>
        <w:t>Saudi Arabia/Regional</w:t>
      </w:r>
    </w:p>
    <w:p>
      <w:pPr>
        <w:pStyle w:val="NoSpacing"/>
      </w:pPr>
      <w:r>
        <w:rPr>
          <w:b/>
          <w:color w:val="000000"/>
        </w:rPr>
        <w:t>Heritage:</w:t>
      </w:r>
    </w:p>
    <w:p>
      <w:pPr>
        <w:pStyle w:val="ListBullet"/>
      </w:pPr>
      <w:r>
        <w:rPr>
          <w:b w:val="0"/>
        </w:rPr>
        <w:t>Saudi Arabia's Heritage Commission says it has now documented more than 74,000 cultural assets across the Kingdom, spanning archaeological, architectural and historical sites, and has digitally catalogued over 80,000 artefacts nationwide. A comprehensive national inventory of this scale is the quiet infrastructure beneath the Ministry's more visible programming, giving conservation, tourism development and the Kingdom's UNESCO ambitions a defensible evidence base rather than a promotional one. (</w:t>
      </w:r>
      <w:hyperlink r:id="rId9">
        <w:r>
          <w:rPr>
            <w:color w:val="0000FF"/>
            <w:u w:val="single"/>
            <w:rFonts w:ascii="Times New Roman" w:hAnsi="Times New Roman"/>
          </w:rPr>
          <w:t xml:space="preserve">CairoScene</w:t>
        </w:r>
      </w:hyperlink>
      <w:r>
        <w:rPr>
          <w:b w:val="0"/>
        </w:rPr>
        <w:t>)</w:t>
      </w:r>
    </w:p>
    <w:p>
      <w:pPr>
        <w:pStyle w:val="NoSpacing"/>
      </w:pPr>
      <w:r>
        <w:rPr>
          <w:b/>
          <w:color w:val="000000"/>
        </w:rPr>
        <w:t>Film:</w:t>
      </w:r>
    </w:p>
    <w:p>
      <w:pPr>
        <w:pStyle w:val="ListBullet"/>
      </w:pPr>
      <w:r>
        <w:rPr>
          <w:b w:val="0"/>
        </w:rPr>
        <w:t>A record eight films backed by the Red Sea Film Foundation are screening at the 51st Toronto International Film Festival (10-20 September), the largest Saudi-supported presence at TIFF to date, with seven titles in the Centerpiece programme and Theja Rio's Angh selected for Platform. The Foundation is also joining the inaugural TIFF: The Market, a sign that Saudi film financing is increasingly embedded in the international festival and industry circuit rather than confined to domestic showcases. (</w:t>
      </w:r>
      <w:hyperlink r:id="rId10">
        <w:r>
          <w:rPr>
            <w:color w:val="0000FF"/>
            <w:u w:val="single"/>
            <w:rFonts w:ascii="Times New Roman" w:hAnsi="Times New Roman"/>
          </w:rPr>
          <w:t xml:space="preserve">UA.NEWS</w:t>
        </w:r>
      </w:hyperlink>
      <w:r>
        <w:rPr>
          <w:b w:val="0"/>
        </w:rPr>
        <w:t>)</w:t>
      </w:r>
    </w:p>
    <w:p>
      <w:pPr>
        <w:pStyle w:val="NoSpacing"/>
      </w:pPr>
      <w:r>
        <w:rPr>
          <w:b/>
          <w:color w:val="000000"/>
        </w:rPr>
        <w:t>Music:</w:t>
      </w:r>
    </w:p>
    <w:p>
      <w:pPr>
        <w:pStyle w:val="ListBullet"/>
      </w:pPr>
      <w:r>
        <w:rPr>
          <w:b w:val="0"/>
        </w:rPr>
        <w:t>Al Arabiya charts Saudi Arabia's music sector maturing from a largely private, underground scene into an industry with international reach, crediting sustained investment and platforms such as MDLBEAST for pulling emerging Saudi talent onto global stages. The report notes an active push to create dedicated licensing for underground events, a practical marker of how far the scene has moved from enabling occasional performance towards building a regulated, professional market. (</w:t>
      </w:r>
      <w:hyperlink r:id="rId11">
        <w:r>
          <w:rPr>
            <w:color w:val="0000FF"/>
            <w:u w:val="single"/>
            <w:rFonts w:ascii="Times New Roman" w:hAnsi="Times New Roman"/>
          </w:rPr>
          <w:t xml:space="preserve">Al Arabiya</w:t>
        </w:r>
      </w:hyperlink>
      <w:r>
        <w:rPr>
          <w:b w:val="0"/>
        </w:rPr>
        <w:t>)</w:t>
      </w:r>
    </w:p>
    <w:p>
      <w:pPr>
        <w:pStyle w:val="NoSpacing"/>
      </w:pPr>
      <w:r>
        <w:rPr>
          <w:b/>
          <w:color w:val="000000"/>
        </w:rPr>
        <w:t>General:</w:t>
      </w:r>
    </w:p>
    <w:p>
      <w:pPr>
        <w:pStyle w:val="ListBullet"/>
      </w:pPr>
      <w:r>
        <w:rPr>
          <w:b w:val="0"/>
        </w:rPr>
        <w:t>Al-Monitor's new City Pulse Riyadh briefing captures the Kingdom's cultural calendar accelerating ahead of National Day on 23 September, from the ATHR gallery bringing sculpture into the UNESCO-listed Al-Balad district of Jeddah to an AlUla exhibition pairing established Saudi artists with local children and young people. The spread of activity across heritage districts, contemporary galleries and community programming shows cultural output being woven into the national-day moment rather than left to official ceremony alone. (</w:t>
      </w:r>
      <w:hyperlink r:id="rId12">
        <w:r>
          <w:rPr>
            <w:color w:val="0000FF"/>
            <w:u w:val="single"/>
            <w:rFonts w:ascii="Times New Roman" w:hAnsi="Times New Roman"/>
          </w:rPr>
          <w:t xml:space="preserve">Al-Monitor</w:t>
        </w:r>
      </w:hyperlink>
      <w:r>
        <w:rPr>
          <w:b w:val="0"/>
        </w:rPr>
        <w:t>)</w:t>
      </w:r>
    </w:p>
    <w:p>
      <w:pPr>
        <w:pStyle w:val="NoSpacing"/>
      </w:pPr>
    </w:p>
    <w:p>
      <w:pPr>
        <w:pStyle w:val="NoSpacing"/>
      </w:pPr>
      <w:r>
        <w:rPr>
          <w:b/>
          <w:color w:val="EE0000"/>
        </w:rPr>
        <w:t>Negative Articles</w:t>
      </w:r>
    </w:p>
    <w:p>
      <w:pPr>
        <w:pStyle w:val="ListBullet"/>
      </w:pPr>
      <w:r>
        <w:rPr>
          <w:b w:val="0"/>
        </w:rPr>
        <w:t>Al Jazeera reports a sharp escalation in Yemen, with the internationally recognised government accusing the Houthis of killing three children in an artillery attack while the Houthis claim Saudi forces carried out 54 air raids in 12 hours. The framing, which foregrounds Saudi airstrikes and civilian-harm allegations, casts the Kingdom as an active combatant in a widening war, the kind of adversarial narrative that can colour perceptions of Saudi Arabia well beyond the security file. (</w:t>
      </w:r>
      <w:hyperlink r:id="rId13">
        <w:r>
          <w:rPr>
            <w:color w:val="0000FF"/>
            <w:u w:val="single"/>
            <w:rFonts w:ascii="Times New Roman" w:hAnsi="Times New Roman"/>
          </w:rPr>
          <w:t xml:space="preserve">Al Jazeera</w:t>
        </w:r>
      </w:hyperlink>
      <w:r>
        <w:rPr>
          <w:b w:val="0"/>
        </w:rPr>
        <w:t>)</w:t>
      </w:r>
    </w:p>
    <w:p>
      <w:pPr>
        <w:pStyle w:val="ListBullet"/>
      </w:pPr>
      <w:r>
        <w:rPr>
          <w:b w:val="0"/>
        </w:rPr>
        <w:t>The Guardian reports that Houthi forces have seized the key Yemeni port of Mocha in a drive to control the Red Sea coast, extending rebel reach along a waterway central to Saudi and global trade. Territorial gains this close to the southern Red Sea sharpen the security backdrop against which the Kingdom's tourism and cultural-opening narrative is being read internationally. (</w:t>
      </w:r>
      <w:hyperlink r:id="rId14">
        <w:r>
          <w:rPr>
            <w:color w:val="0000FF"/>
            <w:u w:val="single"/>
            <w:rFonts w:ascii="Times New Roman" w:hAnsi="Times New Roman"/>
          </w:rPr>
          <w:t xml:space="preserve">The Guardian</w:t>
        </w:r>
      </w:hyperlink>
      <w:r>
        <w:rPr>
          <w:b w:val="0"/>
        </w:rPr>
        <w:t>)</w:t>
      </w:r>
    </w:p>
    <w:p>
      <w:pPr>
        <w:pStyle w:val="ListBullet"/>
      </w:pPr>
      <w:r>
        <w:rPr>
          <w:b w:val="0"/>
        </w:rPr>
        <w:t>Middle East Eye reports that Saudi Arabia has vowed to take 'all measures to deter Houthi attacks' after strikes on civilian and energy sites, signalling a firmer public posture as the conflict intensifies. A more overt deterrence stance keeps Saudi Arabia in the frame as a principal party to the fighting, complicating any effort to insulate the cultural story from the security one. (</w:t>
      </w:r>
      <w:hyperlink r:id="rId15">
        <w:r>
          <w:rPr>
            <w:color w:val="0000FF"/>
            <w:u w:val="single"/>
            <w:rFonts w:ascii="Times New Roman" w:hAnsi="Times New Roman"/>
          </w:rPr>
          <w:t xml:space="preserve">Middle East Eye</w:t>
        </w:r>
      </w:hyperlink>
      <w:r>
        <w:rPr>
          <w:b w:val="0"/>
        </w:rPr>
        <w:t>)</w:t>
      </w:r>
    </w:p>
    <w:p>
      <w:pPr>
        <w:pStyle w:val="ListBullet"/>
      </w:pPr>
      <w:r>
        <w:rPr>
          <w:b w:val="0"/>
        </w:rPr>
        <w:t>Bloomberg reports that Houthi-Saudi fighting is escalating as rebels push toward a key strait, tying the confrontation directly to the Bab al-Mandeb chokepoint and the oil-shipping routes that run through it. The market-facing framing links Saudi reputational and security exposure to a strategic waterway, a reminder that investor sentiment and cultural soft power are being weighed against the same conflict. (</w:t>
      </w:r>
      <w:hyperlink r:id="rId16">
        <w:r>
          <w:rPr>
            <w:color w:val="0000FF"/>
            <w:u w:val="single"/>
            <w:rFonts w:ascii="Times New Roman" w:hAnsi="Times New Roman"/>
          </w:rPr>
          <w:t xml:space="preserve">Bloomberg</w:t>
        </w:r>
      </w:hyperlink>
      <w:r>
        <w:rPr>
          <w:b w:val="0"/>
        </w:rPr>
        <w:t>)</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Maurizio Cattelan's exhibition 'Night' has opened at Berlin's Neue Nationalgalerie during Berlin Art Week, the Italian artist's first major German solo show, running to March 2027 and including his contested kneeling-Hitler sculpture 'Him'. The staging is a reminder of how museums court both audiences and controversy through headline contemporary names, a balance Saudi institutions increasingly navigate as they programme international art at home. (</w:t>
      </w:r>
      <w:hyperlink r:id="rId17">
        <w:r>
          <w:rPr>
            <w:color w:val="0000FF"/>
            <w:u w:val="single"/>
            <w:rFonts w:ascii="Times New Roman" w:hAnsi="Times New Roman"/>
          </w:rPr>
          <w:t xml:space="preserve">Euronews</w:t>
        </w:r>
      </w:hyperlink>
      <w:r>
        <w:rPr>
          <w:b w:val="0"/>
        </w:rPr>
        <w:t>)</w:t>
      </w:r>
    </w:p>
    <w:p>
      <w:pPr>
        <w:pStyle w:val="ListBullet"/>
      </w:pPr>
      <w:r>
        <w:rPr>
          <w:b w:val="0"/>
        </w:rPr>
        <w:t>The Rabkin Foundation has named eight arts journalists, including writers for Artforum and The New York Times, as its 2026 prize winners, each receiving $50,000 in recognition of arts criticism at a time when the field is under financial pressure. Sustained philanthropic support for cultural writing matters for any maturing arts ecosystem, including the Kingdom's, where a credible independent critical press is part of building genuine cultural depth. (</w:t>
      </w:r>
      <w:hyperlink r:id="rId18">
        <w:r>
          <w:rPr>
            <w:color w:val="0000FF"/>
            <w:u w:val="single"/>
            <w:rFonts w:ascii="Times New Roman" w:hAnsi="Times New Roman"/>
          </w:rPr>
          <w:t xml:space="preserve">The Art Newspaper</w:t>
        </w:r>
      </w:hyperlink>
      <w:r>
        <w:rPr>
          <w:b w:val="0"/>
        </w:rPr>
        <w:t>)</w:t>
      </w:r>
    </w:p>
    <w:p>
      <w:pPr>
        <w:pStyle w:val="NoSpacing"/>
      </w:pPr>
      <w:r>
        <w:rPr>
          <w:b/>
          <w:color w:val="000000"/>
        </w:rPr>
        <w:t>Museums:</w:t>
      </w:r>
    </w:p>
    <w:p>
      <w:pPr>
        <w:pStyle w:val="ListBullet"/>
      </w:pPr>
      <w:r>
        <w:rPr>
          <w:b w:val="0"/>
        </w:rPr>
        <w:t>The Bayeux Tapestry has gone on public display at the British Museum for the first time in nearly a thousand years, the fruit of a hard-won loan agreement with France, with the almost 70-metre embroidery shown at full length until July 2027. The exhibition, whose first tickets sold out within hours, is a case study in cultural diplomacy and blockbuster museum programming, the same soft-power playbook Saudi institutions are studying as they build their own museum sector. (</w:t>
      </w:r>
      <w:hyperlink r:id="rId19">
        <w:r>
          <w:rPr>
            <w:color w:val="0000FF"/>
            <w:u w:val="single"/>
            <w:rFonts w:ascii="Times New Roman" w:hAnsi="Times New Roman"/>
          </w:rPr>
          <w:t xml:space="preserve">artnet News</w:t>
        </w:r>
      </w:hyperlink>
      <w:r>
        <w:rPr>
          <w:b w:val="0"/>
        </w:rPr>
        <w:t>)</w:t>
      </w:r>
    </w:p>
    <w:p>
      <w:pPr>
        <w:pStyle w:val="NoSpacing"/>
      </w:pPr>
      <w:r>
        <w:rPr>
          <w:b/>
          <w:color w:val="000000"/>
        </w:rPr>
        <w:t>Film:</w:t>
      </w:r>
    </w:p>
    <w:p>
      <w:pPr>
        <w:pStyle w:val="ListBullet"/>
      </w:pPr>
      <w:r>
        <w:rPr>
          <w:b w:val="0"/>
        </w:rPr>
        <w:t>The 51st Toronto International Film Festival opened with the world premiere of Sian Heder's 'Being Heumann', a portrait of the late disability-rights leader Judy Heumann, with the director stressing that collective action matters. TIFF's opening slot doubles as an early marker in the awards season, underlining why festival positioning has become a strategic prize for national film bodies, the Red Sea Film Foundation's record TIFF presence this year being a direct case in point. (</w:t>
      </w:r>
      <w:hyperlink r:id="rId20">
        <w:r>
          <w:rPr>
            <w:color w:val="0000FF"/>
            <w:u w:val="single"/>
            <w:rFonts w:ascii="Times New Roman" w:hAnsi="Times New Roman"/>
          </w:rPr>
          <w:t xml:space="preserve">The Hollywood Reporter</w:t>
        </w:r>
      </w:hyperlink>
      <w:r>
        <w:rPr>
          <w:b w:val="0"/>
        </w:rPr>
        <w:t>)</w:t>
      </w:r>
    </w:p>
    <w:p>
      <w:pPr>
        <w:pStyle w:val="NoSpacing"/>
      </w:pPr>
      <w:r>
        <w:rPr>
          <w:b/>
          <w:color w:val="000000"/>
        </w:rPr>
        <w:t>Fashion:</w:t>
      </w:r>
    </w:p>
    <w:p>
      <w:pPr>
        <w:pStyle w:val="ListBullet"/>
      </w:pPr>
      <w:r>
        <w:rPr>
          <w:b w:val="0"/>
        </w:rPr>
        <w:t>Diane von Furstenberg opened New York Fashion Week with Henry Zankov's debut collection as the brand's first artistic director, a spring 2027 outing reviewers read as a confident, rebellious reset of the house's codes. The generational handover at a heritage American label speaks to fashion's constant renewal through new creative leadership, the same talent-and-succession question emerging Saudi fashion houses and the designer pipeline are now grappling with. (</w:t>
      </w:r>
      <w:hyperlink r:id="rId21">
        <w:r>
          <w:rPr>
            <w:color w:val="0000FF"/>
            <w:u w:val="single"/>
            <w:rFonts w:ascii="Times New Roman" w:hAnsi="Times New Roman"/>
          </w:rPr>
          <w:t xml:space="preserve">WWD</w:t>
        </w:r>
      </w:hyperlink>
      <w:r>
        <w:rPr>
          <w:b w:val="0"/>
        </w:rPr>
        <w:t>)</w:t>
      </w:r>
    </w:p>
    <w:p>
      <w:pPr>
        <w:pStyle w:val="ListBullet"/>
      </w:pPr>
      <w:r>
        <w:rPr>
          <w:b w:val="0"/>
        </w:rPr>
        <w:t>Princess Diana's 1994 'revenge dress' by Christina Stambolian is heading to Sotheby's in New York with an estimate of up to $300,000, sending one of the most recognisable garments in modern fashion history under the hammer in December. The sale underscores how fashion objects accrue heritage value and market weight over time, a dynamic relevant to any culture ministry weighing how contemporary design and dress will be collected, conserved and valued in decades to come. (</w:t>
      </w:r>
      <w:hyperlink r:id="rId22">
        <w:r>
          <w:rPr>
            <w:color w:val="0000FF"/>
            <w:u w:val="single"/>
            <w:rFonts w:ascii="Times New Roman" w:hAnsi="Times New Roman"/>
          </w:rPr>
          <w:t xml:space="preserve">ARTnews</w:t>
        </w:r>
      </w:hyperlink>
      <w:r>
        <w:rPr>
          <w:b w:val="0"/>
        </w:rPr>
        <w:t>)</w:t>
      </w:r>
    </w:p>
    <w:p>
      <w:pPr>
        <w:pStyle w:val="NoSpacing"/>
      </w:pPr>
      <w:r>
        <w:rPr>
          <w:b/>
          <w:color w:val="000000"/>
        </w:rPr>
        <w:t>Music:</w:t>
      </w:r>
    </w:p>
    <w:p>
      <w:pPr>
        <w:pStyle w:val="ListBullet"/>
      </w:pPr>
      <w:r>
        <w:rPr>
          <w:b w:val="0"/>
        </w:rPr>
        <w:t>Country singer Ella Langley leads the 2026 CMA Awards nominations with nine nods, with Taylor Swift returning to the mix via a 'Toy Story' song, ahead of the November ceremony. The CMAs show how genre awards concentrate industry attention and commercial momentum, the kind of anchoring annual event Saudi Arabia's fast-growing music sector still lacks and may look to build as its own scene matures. (</w:t>
      </w:r>
      <w:hyperlink r:id="rId23">
        <w:r>
          <w:rPr>
            <w:color w:val="0000FF"/>
            <w:u w:val="single"/>
            <w:rFonts w:ascii="Times New Roman" w:hAnsi="Times New Roman"/>
          </w:rPr>
          <w:t xml:space="preserve">Deadline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Red Sea security escalation widens the reputational backdrop</w:t>
      </w:r>
    </w:p>
    <w:p>
      <w:pPr>
        <w:pStyle w:val="NoSpacing"/>
      </w:pPr>
      <w:r>
        <w:t>The sharpest reputational pressure this cycle comes not from culture but from a marked escalation of the Yemen conflict on Saudi Arabia's southern flank. Houthi forces have seized the port of Mocha and are pushing towards the Bab al-Mandeb strait, Saudi Arabia has vowed 'all measures to deter' further attacks after strikes on civilian and energy sites, and Al Jazeera's coverage foregrounds Houthi claims of intensive Saudi airstrikes and civilian harm, an adversarial framing that positions the Kingdom as an active combatant. Together these cast a security shadow over the same period in which Saudi Arabia is projecting an open, culture-led international image.</w:t>
      </w:r>
    </w:p>
    <w:p>
      <w:pPr>
        <w:pStyle w:val="NoSpacing"/>
      </w:pPr>
      <w:r>
        <w:rPr>
          <w:b/>
        </w:rPr>
        <w:t xml:space="preserve">Source: </w:t>
      </w:r>
      <w:hyperlink r:id="rId13">
        <w:r>
          <w:rPr>
            <w:color w:val="0000FF"/>
            <w:u w:val="single"/>
            <w:rFonts w:ascii="Times New Roman" w:hAnsi="Times New Roman"/>
          </w:rPr>
          <w:t xml:space="preserve">Al Jazeera</w:t>
        </w:r>
      </w:hyperlink>
      <w:r>
        <w:rPr>
          <w:b w:val="0"/>
        </w:rPr>
        <w:t xml:space="preserve">, </w:t>
      </w:r>
      <w:hyperlink r:id="rId14">
        <w:r>
          <w:rPr>
            <w:color w:val="0000FF"/>
            <w:u w:val="single"/>
            <w:rFonts w:ascii="Times New Roman" w:hAnsi="Times New Roman"/>
          </w:rPr>
          <w:t xml:space="preserve">The Guardian</w:t>
        </w:r>
      </w:hyperlink>
      <w:r>
        <w:rPr>
          <w:b w:val="0"/>
        </w:rPr>
        <w:t xml:space="preserve">, </w:t>
      </w:r>
      <w:hyperlink r:id="rId15">
        <w:r>
          <w:rPr>
            <w:color w:val="0000FF"/>
            <w:u w:val="single"/>
            <w:rFonts w:ascii="Times New Roman" w:hAnsi="Times New Roman"/>
          </w:rPr>
          <w:t xml:space="preserve">Middle East Eye</w:t>
        </w:r>
      </w:hyperlink>
      <w:r>
        <w:rPr>
          <w:b w:val="0"/>
        </w:rPr>
        <w:t xml:space="preserve">, </w:t>
      </w:r>
      <w:hyperlink r:id="rId16">
        <w:r>
          <w:rPr>
            <w:color w:val="0000FF"/>
            <w:u w:val="single"/>
            <w:rFonts w:ascii="Times New Roman" w:hAnsi="Times New Roman"/>
          </w:rPr>
          <w:t xml:space="preserve">Bloomberg</w:t>
        </w:r>
      </w:hyperlink>
    </w:p>
    <w:p>
      <w:pPr>
        <w:pStyle w:val="NoSpacing"/>
      </w:pPr>
      <w:r>
        <w:rPr>
          <w:b/>
        </w:rPr>
        <w:t xml:space="preserve">Consideration: </w:t>
      </w:r>
      <w:r>
        <w:t>The Ministry should keep its cultural narrative deliberately distinct from the conflict, avoiding any framing that ties heritage or arts programming to the security posture, while continuing to foreground credible delivery, public access, Saudi talent and safe international cultural exchange as the substance of the Kingdom's global cultural presence.</w:t>
      </w:r>
    </w:p>
    <w:p>
      <w:pPr>
        <w:pStyle w:val="NoSpacing"/>
      </w:pPr>
    </w:p>
    <w:p>
      <w:pPr>
        <w:pStyle w:val="NoSpacing"/>
      </w:pPr>
      <w:r>
        <w:rPr>
          <w:b/>
          <w:color w:val="A66500"/>
        </w:rPr>
        <w:t>Opportunities</w:t>
      </w:r>
    </w:p>
    <w:p>
      <w:pPr>
        <w:pStyle w:val="NoSpacing"/>
      </w:pPr>
      <w:r>
        <w:rPr>
          <w:b/>
          <w:color w:val="000000"/>
        </w:rPr>
        <w:t>1. Saudi cultural production is scaling onto the international stage</w:t>
      </w:r>
    </w:p>
    <w:p>
      <w:pPr>
        <w:pStyle w:val="NoSpacing"/>
      </w:pPr>
      <w:r>
        <w:t>Three otherwise separate stories point the same way this cycle: the Red Sea Film Foundation's record eight-film presence at Toronto, Al Arabiya's account of the Saudi music sector maturing from an underground scene into an industry with global reach, and the Heritage Commission's documentation of more than 74,000 cultural assets. Read together, they show Saudi cultural output being exported, professionalised and systematically recorded at once, describing a sector moving from event-led visibility towards durable institutional capacity across film, music and heritage.</w:t>
      </w:r>
    </w:p>
    <w:p>
      <w:pPr>
        <w:pStyle w:val="NoSpacing"/>
      </w:pPr>
      <w:r>
        <w:rPr>
          <w:b/>
        </w:rPr>
        <w:t xml:space="preserve">Source: </w:t>
      </w:r>
      <w:hyperlink r:id="rId10">
        <w:r>
          <w:rPr>
            <w:color w:val="0000FF"/>
            <w:u w:val="single"/>
            <w:rFonts w:ascii="Times New Roman" w:hAnsi="Times New Roman"/>
          </w:rPr>
          <w:t xml:space="preserve">UA.NEWS</w:t>
        </w:r>
      </w:hyperlink>
      <w:r>
        <w:rPr>
          <w:b w:val="0"/>
        </w:rPr>
        <w:t xml:space="preserve">, </w:t>
      </w:r>
      <w:hyperlink r:id="rId11">
        <w:r>
          <w:rPr>
            <w:color w:val="0000FF"/>
            <w:u w:val="single"/>
            <w:rFonts w:ascii="Times New Roman" w:hAnsi="Times New Roman"/>
          </w:rPr>
          <w:t xml:space="preserve">Al Arabiya</w:t>
        </w:r>
      </w:hyperlink>
      <w:r>
        <w:rPr>
          <w:b w:val="0"/>
        </w:rPr>
        <w:t xml:space="preserve">, </w:t>
      </w:r>
      <w:hyperlink r:id="rId9">
        <w:r>
          <w:rPr>
            <w:color w:val="0000FF"/>
            <w:u w:val="single"/>
            <w:rFonts w:ascii="Times New Roman" w:hAnsi="Times New Roman"/>
          </w:rPr>
          <w:t xml:space="preserve">CairoScene</w:t>
        </w:r>
      </w:hyperlink>
    </w:p>
    <w:p>
      <w:pPr>
        <w:pStyle w:val="NoSpacing"/>
      </w:pPr>
      <w:r>
        <w:rPr>
          <w:b/>
        </w:rPr>
        <w:t xml:space="preserve">Consideration: </w:t>
      </w:r>
      <w:r>
        <w:t>The Ministry can connect these individual sector wins into a single national narrative, that Saudi culture is not only staging events but building exportable industries and a documented heritage base, using festival presence, music-sector growth and the national inventory as mutually reinforcing evidence rather than isolated announcements.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iroscene.com/News/Heritage-Commission-Documents-Over-74-000-Cultural-Assets" TargetMode="External"/><Relationship Id="rId10" Type="http://schemas.openxmlformats.org/officeDocument/2006/relationships/hyperlink" Target="https://ua.news/en/culture/visim-filmiv-za-pidtrimki-red-sea-film-foundation-predstavliat-na-tiff-u-kanadi" TargetMode="External"/><Relationship Id="rId11" Type="http://schemas.openxmlformats.org/officeDocument/2006/relationships/hyperlink" Target="https://english.alarabiya.net/life-style/entertainment/2026/09/10/saudi-arabia-s-music-revolution-from-underground-scene-to-global-stage" TargetMode="External"/><Relationship Id="rId12" Type="http://schemas.openxmlformats.org/officeDocument/2006/relationships/hyperlink" Target="https://www.al-monitor.com/newsletter/2026-09-10/saudi-national-day-takes-shape" TargetMode="External"/><Relationship Id="rId13" Type="http://schemas.openxmlformats.org/officeDocument/2006/relationships/hyperlink" Target="https://www.aljazeera.com/news/2026/9/10/fighting-escalates-in-yemen-houthi-attacks-trigger-alerts-in-saudi-arabia" TargetMode="External"/><Relationship Id="rId14" Type="http://schemas.openxmlformats.org/officeDocument/2006/relationships/hyperlink" Target="https://www.theguardian.com/world/2026/sep/10/houthis-seize-key-port-mocha-yemen-red-sea-coast-iran-saudi-arabia-us" TargetMode="External"/><Relationship Id="rId15" Type="http://schemas.openxmlformats.org/officeDocument/2006/relationships/hyperlink" Target="https://www.middleeasteye.net/live-blog/live-blog-update/saudi-arabia-says-it-will-take-all-measures-deter-houthi-attacks" TargetMode="External"/><Relationship Id="rId16" Type="http://schemas.openxmlformats.org/officeDocument/2006/relationships/hyperlink" Target="https://www.bloomberg.com/news/articles/2026-09-10/houthi-saudi-fighting-escalates-as-rebels-push-toward-key-strait" TargetMode="External"/><Relationship Id="rId17" Type="http://schemas.openxmlformats.org/officeDocument/2006/relationships/hyperlink" Target="https://www.euronews.com/video/2026/09/10/maurizio-cattelans-night-exhibition-opens-in-berlin" TargetMode="External"/><Relationship Id="rId18" Type="http://schemas.openxmlformats.org/officeDocument/2006/relationships/hyperlink" Target="https://www.theartnewspaper.com/2026/09/10/rabkin-prizes-winners-2026" TargetMode="External"/><Relationship Id="rId19" Type="http://schemas.openxmlformats.org/officeDocument/2006/relationships/hyperlink" Target="https://news.artnet.com/art-world/bayeux-tapestry-british-museum-review-2807802" TargetMode="External"/><Relationship Id="rId20" Type="http://schemas.openxmlformats.org/officeDocument/2006/relationships/hyperlink" Target="https://www.hollywoodreporter.com/movies/movie-news/toronto-film-festival-2026-opening-night-being-heumann-1236697379/" TargetMode="External"/><Relationship Id="rId21" Type="http://schemas.openxmlformats.org/officeDocument/2006/relationships/hyperlink" Target="https://wwd.com/runway/spring-2027/new-york/diane-von-furstenberg/review/" TargetMode="External"/><Relationship Id="rId22" Type="http://schemas.openxmlformats.org/officeDocument/2006/relationships/hyperlink" Target="https://www.artnews.com/art-news/news/princess-diana-revenge-dress-auction-sothebys-300000-1234797803/" TargetMode="External"/><Relationship Id="rId23" Type="http://schemas.openxmlformats.org/officeDocument/2006/relationships/hyperlink" Target="https://deadline.com/2026/09/2026-cma-awards-nominations-list-12370734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