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24 July 2026</w:t>
      </w:r>
    </w:p>
    <w:p>
      <w:pPr>
        <w:pStyle w:val="NoSpacing"/>
      </w:pPr>
    </w:p>
    <w:p>
      <w:pPr>
        <w:pStyle w:val="NoSpacing"/>
      </w:pPr>
      <w:r>
        <w:rPr>
          <w:b/>
          <w:color w:val="4A86E8"/>
        </w:rPr>
        <w:t>Saudi Arabia/Regional</w:t>
      </w:r>
    </w:p>
    <w:p>
      <w:pPr>
        <w:pStyle w:val="ListBullet"/>
      </w:pPr>
      <w:r>
        <w:t>Oil-Rich Saudi Arabia Isn't Short on Energy. Here's Why It Wants to Go Nuclear.</w:t>
      </w:r>
    </w:p>
    <w:p>
      <w:pPr>
        <w:pStyle w:val="ListBullet"/>
      </w:pPr>
      <w:r>
        <w:t>Oil prices: WTI, Brent rise after attacks on Saudi tankers</w:t>
      </w:r>
    </w:p>
    <w:p>
      <w:pPr>
        <w:pStyle w:val="ListBullet"/>
      </w:pPr>
      <w:r>
        <w:t>How the Bab al-Mandab blockade threat helped push oil back above $100</w:t>
      </w:r>
    </w:p>
    <w:p>
      <w:pPr>
        <w:pStyle w:val="ListBullet"/>
      </w:pPr>
      <w:r>
        <w:t>Trump's New Demand for Nuclear Deal Puts Saudis in a Bind</w:t>
      </w:r>
    </w:p>
    <w:p>
      <w:pPr>
        <w:pStyle w:val="ListBullet"/>
      </w:pPr>
      <w:r>
        <w:t>The World Heritage Committee will examine new nominations and the state of conservation of inscribed sites</w:t>
      </w:r>
    </w:p>
    <w:p>
      <w:pPr>
        <w:pStyle w:val="NoSpacing"/>
      </w:pPr>
    </w:p>
    <w:p>
      <w:pPr>
        <w:pStyle w:val="NoSpacing"/>
      </w:pPr>
      <w:r>
        <w:rPr>
          <w:b/>
          <w:color w:val="EE0000"/>
        </w:rPr>
        <w:t>Negative Articles</w:t>
      </w:r>
    </w:p>
    <w:p>
      <w:pPr>
        <w:pStyle w:val="ListBullet"/>
      </w:pPr>
      <w:r>
        <w:t>Why would Trump agree to the Saudi nuclear deal?</w:t>
      </w:r>
    </w:p>
    <w:p>
      <w:pPr>
        <w:pStyle w:val="ListBullet"/>
      </w:pPr>
      <w:r>
        <w:t>Trump Is Triggering a Middle East Nuclear Arms Race</w:t>
      </w:r>
    </w:p>
    <w:p>
      <w:pPr>
        <w:pStyle w:val="NoSpacing"/>
      </w:pPr>
    </w:p>
    <w:p>
      <w:pPr>
        <w:pStyle w:val="NoSpacing"/>
      </w:pPr>
      <w:r>
        <w:rPr>
          <w:b/>
          <w:color w:val="4A86E8"/>
        </w:rPr>
        <w:t>Global</w:t>
      </w:r>
    </w:p>
    <w:p>
      <w:pPr>
        <w:pStyle w:val="ListBullet"/>
      </w:pPr>
      <w:r>
        <w:t>Venice Film Festival Reveals 2026 Lineup</w:t>
      </w:r>
    </w:p>
    <w:p>
      <w:pPr>
        <w:pStyle w:val="ListBullet"/>
      </w:pPr>
      <w:r>
        <w:t>Vijay's 'Jana Nayagan' Finally Gets a Release Date</w:t>
      </w:r>
    </w:p>
    <w:p>
      <w:pPr>
        <w:pStyle w:val="ListBullet"/>
      </w:pPr>
      <w:r>
        <w:t>Comic-Con 2026 Hall H Preview</w:t>
      </w:r>
    </w:p>
    <w:p>
      <w:pPr>
        <w:pStyle w:val="ListBullet"/>
      </w:pPr>
      <w:r>
        <w:t>Michelin Guide Italy adds 15 new restaurants in July</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The United States and Saudi Arabia signed a 30-year civilian nuclear cooperation accord this week, a "123 agreement" that commits American firms to supplying the Kingdom's reactors and leaves open a conditional path to domestic uranium enrichment. Coverage frames the deal less as an energy story than a strategic one: nuclear power would free more crude for export and anchor Saudi Arabia inside a US-led technology bloc, though the enrichment ambiguity now heads to a 90-day Congressional review. For the Ministry, the story is a reminder that the Kingdom's international profile this week is being written in the register of security and energy diplomacy rather than culture. (</w:t>
      </w:r>
      <w:hyperlink r:id="rId9">
        <w:r>
          <w:rPr>
            <w:color w:val="0000FF"/>
            <w:u w:val="single"/>
            <w:rFonts w:ascii="Times New Roman" w:hAnsi="Times New Roman"/>
          </w:rPr>
          <w:t xml:space="preserve">The New York Times</w:t>
        </w:r>
      </w:hyperlink>
      <w:r>
        <w:rPr>
          <w:b w:val="0"/>
        </w:rPr>
        <w:t>)</w:t>
      </w:r>
    </w:p>
    <w:p>
      <w:pPr>
        <w:pStyle w:val="ListBullet"/>
      </w:pPr>
      <w:r>
        <w:rPr>
          <w:b w:val="0"/>
        </w:rPr>
        <w:t>Brent crude pushed above $100 a barrel for the first time since May after Iran-aligned Houthi forces struck Saudi oil tankers in the Red Sea, with the Kingdom confirming an attack on the refined-products tanker Encelia. The market reaction underscores how exposed Saudi Arabia's export economy remains to regional escalation, and how quickly a security shock can overshadow the Kingdom's diversification narrative. (</w:t>
      </w:r>
      <w:hyperlink r:id="rId10">
        <w:r>
          <w:rPr>
            <w:color w:val="0000FF"/>
            <w:u w:val="single"/>
            <w:rFonts w:ascii="Times New Roman" w:hAnsi="Times New Roman"/>
          </w:rPr>
          <w:t xml:space="preserve">CNBC</w:t>
        </w:r>
      </w:hyperlink>
      <w:r>
        <w:rPr>
          <w:b w:val="0"/>
        </w:rPr>
        <w:t>)</w:t>
      </w:r>
    </w:p>
    <w:p>
      <w:pPr>
        <w:pStyle w:val="ListBullet"/>
      </w:pPr>
      <w:r>
        <w:rPr>
          <w:b w:val="0"/>
        </w:rPr>
        <w:t>Analysis of the Houthi maritime blockade threat highlights Saudi Arabia's growing reliance on the Red Sea port of Yanbu and the Bab al-Mandab chokepoint after the effective closure of the Strait of Hormuz, with several loaded tankers reported turning back. The tourism and heritage dimension is real but under-examined: the same Red Sea coastline the Kingdom is developing for cultural and leisure tourism is now a contested security corridor, a tension the Ministry's Red Sea cultural positioning will have to navigate. (</w:t>
      </w:r>
      <w:hyperlink r:id="rId11">
        <w:r>
          <w:rPr>
            <w:color w:val="0000FF"/>
            <w:u w:val="single"/>
            <w:rFonts w:ascii="Times New Roman" w:hAnsi="Times New Roman"/>
          </w:rPr>
          <w:t xml:space="preserve">The Guardian</w:t>
        </w:r>
      </w:hyperlink>
      <w:r>
        <w:rPr>
          <w:b w:val="0"/>
        </w:rPr>
        <w:t>)</w:t>
      </w:r>
    </w:p>
    <w:p>
      <w:pPr>
        <w:pStyle w:val="ListBullet"/>
      </w:pPr>
      <w:r>
        <w:rPr>
          <w:b w:val="0"/>
        </w:rPr>
        <w:t>Reporting on the diplomatic fine print notes that President Trump has tied the nuclear pact to Saudi normalisation with Israel and membership of the Abraham Accords, while Riyadh continues to insist on an irreversible, time-bound path to a Palestinian state. The framing places the Kingdom in a delicate position between a major bilateral prize and its stated regional commitments, a balancing act that shapes the wider environment in which Saudi soft-power and cultural diplomacy now operate. (</w:t>
      </w:r>
      <w:hyperlink r:id="rId12">
        <w:r>
          <w:rPr>
            <w:color w:val="0000FF"/>
            <w:u w:val="single"/>
            <w:rFonts w:ascii="Times New Roman" w:hAnsi="Times New Roman"/>
          </w:rPr>
          <w:t xml:space="preserve">The New York Times</w:t>
        </w:r>
      </w:hyperlink>
      <w:r>
        <w:rPr>
          <w:b w:val="0"/>
        </w:rPr>
        <w:t>)</w:t>
      </w:r>
    </w:p>
    <w:p>
      <w:pPr>
        <w:pStyle w:val="NoSpacing"/>
      </w:pPr>
      <w:r>
        <w:rPr>
          <w:b/>
          <w:color w:val="000000"/>
        </w:rPr>
        <w:t>Heritage:</w:t>
      </w:r>
    </w:p>
    <w:p>
      <w:pPr>
        <w:pStyle w:val="ListBullet"/>
      </w:pPr>
      <w:r>
        <w:rPr>
          <w:b w:val="0"/>
        </w:rPr>
        <w:t>The 48th session of the UNESCO World Heritage Committee is under way in Busan (20–29 July), with the examination of new inscriptions running 24–27 July and around 30 nominations under review. Among them is Saudi Arabia's "Coral Reefs of the Gulf of Aqaba", a natural-heritage bid the advisory bodies have recommended be referred back to the State Party for clearer boundary definition, even as IUCN endorsed the exceptional, heat-resilient reef system as globally significant. A referral is a request to strengthen and resubmit rather than a rejection, and it keeps Saudi Arabia active in the World Heritage process alongside its eight already-inscribed properties. (</w:t>
      </w:r>
      <w:hyperlink r:id="rId13">
        <w:r>
          <w:rPr>
            <w:color w:val="0000FF"/>
            <w:u w:val="single"/>
            <w:rFonts w:ascii="Times New Roman" w:hAnsi="Times New Roman"/>
          </w:rPr>
          <w:t xml:space="preserve">UNESCO</w:t>
        </w:r>
      </w:hyperlink>
      <w:r>
        <w:rPr>
          <w:b w:val="0"/>
        </w:rPr>
        <w:t>)</w:t>
      </w:r>
    </w:p>
    <w:p>
      <w:pPr>
        <w:pStyle w:val="NoSpacing"/>
      </w:pPr>
    </w:p>
    <w:p>
      <w:pPr>
        <w:pStyle w:val="NoSpacing"/>
      </w:pPr>
      <w:r>
        <w:rPr>
          <w:b/>
          <w:color w:val="EE0000"/>
        </w:rPr>
        <w:t>Negative Articles</w:t>
      </w:r>
    </w:p>
    <w:p>
      <w:pPr>
        <w:pStyle w:val="ListBullet"/>
      </w:pPr>
      <w:r>
        <w:rPr>
          <w:b w:val="0"/>
        </w:rPr>
        <w:t>In an opinion piece for The Guardian, Kenneth Roth, the former head of Human Rights Watch, argues that the civilian nuclear agreement rewards Saudi Arabia despite the Kingdom's human-rights record, reviving criticism around executions, detentions and the Khashoggi killing in the context of the deal. As an op-ed rather than a news report, it reflects commentary rather than events, but it signals how quickly a major diplomatic story can be reframed around reputational concerns the Ministry's cultural messaging generally seeks to keep separate. (</w:t>
      </w:r>
      <w:hyperlink r:id="rId14">
        <w:r>
          <w:rPr>
            <w:color w:val="0000FF"/>
            <w:u w:val="single"/>
            <w:rFonts w:ascii="Times New Roman" w:hAnsi="Times New Roman"/>
          </w:rPr>
          <w:t xml:space="preserve">The Guardian</w:t>
        </w:r>
      </w:hyperlink>
      <w:r>
        <w:rPr>
          <w:b w:val="0"/>
        </w:rPr>
        <w:t>)</w:t>
      </w:r>
    </w:p>
    <w:p>
      <w:pPr>
        <w:pStyle w:val="ListBullet"/>
      </w:pPr>
      <w:r>
        <w:rPr>
          <w:b w:val="0"/>
        </w:rPr>
        <w:t>Foreign Policy casts the same nuclear agreement as a trigger for a Middle East arms race, arguing that a Saudi enrichment pathway could prompt regional hedging and undercut non-proliferation norms. The proliferation-risk framing is a distinct reputational angle from the human-rights critique above, and it places Saudi Arabia at the centre of a security debate whose tone is markedly less favourable than the Kingdom's cultural coverage. (</w:t>
      </w:r>
      <w:hyperlink r:id="rId15">
        <w:r>
          <w:rPr>
            <w:color w:val="0000FF"/>
            <w:u w:val="single"/>
            <w:rFonts w:ascii="Times New Roman" w:hAnsi="Times New Roman"/>
          </w:rPr>
          <w:t xml:space="preserve">Foreign Policy</w:t>
        </w:r>
      </w:hyperlink>
      <w:r>
        <w:rPr>
          <w:b w:val="0"/>
        </w:rPr>
        <w:t>)</w:t>
      </w:r>
    </w:p>
    <w:p>
      <w:pPr>
        <w:pStyle w:val="NoSpacing"/>
      </w:pPr>
    </w:p>
    <w:p>
      <w:pPr>
        <w:pStyle w:val="NoSpacing"/>
      </w:pPr>
      <w:r>
        <w:rPr>
          <w:b/>
          <w:color w:val="4A86E8"/>
        </w:rPr>
        <w:t>Global</w:t>
      </w:r>
    </w:p>
    <w:p>
      <w:pPr>
        <w:pStyle w:val="NoSpacing"/>
      </w:pPr>
      <w:r>
        <w:rPr>
          <w:b/>
          <w:color w:val="000000"/>
        </w:rPr>
        <w:t>Film:</w:t>
      </w:r>
    </w:p>
    <w:p>
      <w:pPr>
        <w:pStyle w:val="ListBullet"/>
      </w:pPr>
      <w:r>
        <w:rPr>
          <w:b w:val="0"/>
        </w:rPr>
        <w:t>The Venice Film Festival unveiled its full 2026 competition and Horizons line-up, with the sidebar chaired by Valérie Donzelli and titles spanning Italian debuts and international auteur cinema ahead of the 2–12 September edition. The festival calendar is the benchmark circuit Saudi Arabia's own film-sector build-out — the Red Sea International Film Festival, Film AlUla and the raised 60% production rebate — is measured against, and a useful reference point for the Ministry's cinema ambitions. (</w:t>
      </w:r>
      <w:hyperlink r:id="rId16">
        <w:r>
          <w:rPr>
            <w:color w:val="0000FF"/>
            <w:u w:val="single"/>
            <w:rFonts w:ascii="Times New Roman" w:hAnsi="Times New Roman"/>
          </w:rPr>
          <w:t xml:space="preserve">IndieWire</w:t>
        </w:r>
      </w:hyperlink>
      <w:r>
        <w:rPr>
          <w:b w:val="0"/>
        </w:rPr>
        <w:t>)</w:t>
      </w:r>
    </w:p>
    <w:p>
      <w:pPr>
        <w:pStyle w:val="ListBullet"/>
      </w:pPr>
      <w:r>
        <w:rPr>
          <w:b w:val="0"/>
        </w:rPr>
        <w:t>Indian star Vijay's long-delayed "Jana Nayagan" opened in cinemas worldwide, closing a protracted certification and piracy saga and drawing significant global South Asian audiences. The release is a reminder of the scale of non-Western commercial cinema and the diaspora markets that Gulf cultural and entertainment venues increasingly court. (</w:t>
      </w:r>
      <w:hyperlink r:id="rId17">
        <w:r>
          <w:rPr>
            <w:color w:val="0000FF"/>
            <w:u w:val="single"/>
            <w:rFonts w:ascii="Times New Roman" w:hAnsi="Times New Roman"/>
          </w:rPr>
          <w:t xml:space="preserve">Variety</w:t>
        </w:r>
      </w:hyperlink>
      <w:r>
        <w:rPr>
          <w:b w:val="0"/>
        </w:rPr>
        <w:t>)</w:t>
      </w:r>
    </w:p>
    <w:p>
      <w:pPr>
        <w:pStyle w:val="ListBullet"/>
      </w:pPr>
      <w:r>
        <w:rPr>
          <w:b w:val="0"/>
        </w:rPr>
        <w:t>San Diego Comic-Con opened its main programme on 23 July, with Hall H studio presentations and roughly 135,000 attendees across four sold-out days. As the world's largest screen-and-IP convention, it illustrates the fan-economy and intellectual-property model that Saudi Arabia's entertainment and events strategy is working to localise. (</w:t>
      </w:r>
      <w:hyperlink r:id="rId18">
        <w:r>
          <w:rPr>
            <w:color w:val="0000FF"/>
            <w:u w:val="single"/>
            <w:rFonts w:ascii="Times New Roman" w:hAnsi="Times New Roman"/>
          </w:rPr>
          <w:t xml:space="preserve">The Hollywood Reporter</w:t>
        </w:r>
      </w:hyperlink>
      <w:r>
        <w:rPr>
          <w:b w:val="0"/>
        </w:rPr>
        <w:t>)</w:t>
      </w:r>
    </w:p>
    <w:p>
      <w:pPr>
        <w:pStyle w:val="NoSpacing"/>
      </w:pPr>
      <w:r>
        <w:rPr>
          <w:b/>
          <w:color w:val="000000"/>
        </w:rPr>
        <w:t>Culinary Arts:</w:t>
      </w:r>
    </w:p>
    <w:p>
      <w:pPr>
        <w:pStyle w:val="ListBullet"/>
      </w:pPr>
      <w:r>
        <w:rPr>
          <w:b w:val="0"/>
        </w:rPr>
        <w:t>The Michelin Guide Italy added 15 new restaurants in its July update, ranging from plant-based kitchens to coastal bistros led by established chefs. The steady, month-by-month expansion of Michelin's coverage is the same recognition model the Kingdom entered with its inaugural Michelin Guide Saudi Arabia, and a benchmark for how a national culinary scene builds international credibility over time. (</w:t>
      </w:r>
      <w:hyperlink r:id="rId19">
        <w:r>
          <w:rPr>
            <w:color w:val="0000FF"/>
            <w:u w:val="single"/>
            <w:rFonts w:ascii="Times New Roman" w:hAnsi="Times New Roman"/>
          </w:rPr>
          <w:t xml:space="preserve">Reporter Gourmet</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shock overshadowing the cultural-tourism story</w:t>
      </w:r>
    </w:p>
    <w:p>
      <w:pPr>
        <w:pStyle w:val="NoSpacing"/>
      </w:pPr>
      <w:r>
        <w:t>The Houthi tanker strikes, the return of oil above $100 and the widening US–Iran confrontation have put Saudi Arabia's Red Sea coastline and export routes at the centre of a security crisis, on the same stretch of coast the Kingdom is developing for cultural and leisure tourism. A sustained escalation risks depressing visitor confidence and complicating the international events calendar, including high-profile cultural programming later in the year.</w:t>
      </w:r>
    </w:p>
    <w:p>
      <w:pPr>
        <w:pStyle w:val="NoSpacing"/>
      </w:pPr>
      <w:r>
        <w:rPr>
          <w:b/>
        </w:rPr>
        <w:t xml:space="preserve">Source: </w:t>
      </w:r>
      <w:hyperlink r:id="rId10">
        <w:r>
          <w:rPr>
            <w:color w:val="0000FF"/>
            <w:u w:val="single"/>
            <w:rFonts w:ascii="Times New Roman" w:hAnsi="Times New Roman"/>
          </w:rPr>
          <w:t xml:space="preserve">CNBC</w:t>
        </w:r>
      </w:hyperlink>
      <w:r>
        <w:rPr>
          <w:b w:val="0"/>
        </w:rPr>
        <w:t xml:space="preserve">, </w:t>
      </w:r>
      <w:hyperlink r:id="rId11">
        <w:r>
          <w:rPr>
            <w:color w:val="0000FF"/>
            <w:u w:val="single"/>
            <w:rFonts w:ascii="Times New Roman" w:hAnsi="Times New Roman"/>
          </w:rPr>
          <w:t xml:space="preserve">The Guardian</w:t>
        </w:r>
      </w:hyperlink>
    </w:p>
    <w:p>
      <w:pPr>
        <w:pStyle w:val="NoSpacing"/>
      </w:pPr>
      <w:r>
        <w:rPr>
          <w:b/>
        </w:rPr>
        <w:t xml:space="preserve">Consideration: </w:t>
      </w:r>
      <w:r>
        <w:t>Keep the Ministry's cultural narrative deliberately distinct from the conflict story, foregrounding safe international participation, credible delivery of existing programmes and heritage stewardship rather than engaging the security debate directly.</w:t>
      </w:r>
    </w:p>
    <w:p>
      <w:pPr>
        <w:pStyle w:val="NoSpacing"/>
      </w:pPr>
    </w:p>
    <w:p>
      <w:pPr>
        <w:pStyle w:val="NoSpacing"/>
      </w:pPr>
      <w:r>
        <w:rPr>
          <w:b/>
          <w:color w:val="000000"/>
        </w:rPr>
        <w:t>2. Reputational drag from the nuclear deal's rights and proliferation framing</w:t>
      </w:r>
    </w:p>
    <w:p>
      <w:pPr>
        <w:pStyle w:val="NoSpacing"/>
      </w:pPr>
      <w:r>
        <w:t>The civilian nuclear agreement has revived human-rights criticism and proliferation concerns in international commentary, with prominent voices reframing a diplomatic milestone around the Kingdom's record and regional arms-race fears. This framing can bleed into the wider perception environment in which Saudi cultural soft power operates.</w:t>
      </w:r>
    </w:p>
    <w:p>
      <w:pPr>
        <w:pStyle w:val="NoSpacing"/>
      </w:pPr>
      <w:r>
        <w:rPr>
          <w:b/>
        </w:rPr>
        <w:t xml:space="preserve">Source: </w:t>
      </w:r>
      <w:hyperlink r:id="rId14">
        <w:r>
          <w:rPr>
            <w:color w:val="0000FF"/>
            <w:u w:val="single"/>
            <w:rFonts w:ascii="Times New Roman" w:hAnsi="Times New Roman"/>
          </w:rPr>
          <w:t xml:space="preserve">The Guardian</w:t>
        </w:r>
      </w:hyperlink>
      <w:r>
        <w:rPr>
          <w:b w:val="0"/>
        </w:rPr>
        <w:t xml:space="preserve">, </w:t>
      </w:r>
      <w:hyperlink r:id="rId15">
        <w:r>
          <w:rPr>
            <w:color w:val="0000FF"/>
            <w:u w:val="single"/>
            <w:rFonts w:ascii="Times New Roman" w:hAnsi="Times New Roman"/>
          </w:rPr>
          <w:t xml:space="preserve">Foreign Policy</w:t>
        </w:r>
      </w:hyperlink>
    </w:p>
    <w:p>
      <w:pPr>
        <w:pStyle w:val="NoSpacing"/>
      </w:pPr>
      <w:r>
        <w:rPr>
          <w:b/>
        </w:rPr>
        <w:t xml:space="preserve">Consideration: </w:t>
      </w:r>
      <w:r>
        <w:t>Continue to anchor cultural communications in institutional professionalism, public access, Saudi talent and skills development, avoiding any entanglement of cultural diplomacy with the security and non-proliferation debate.</w:t>
      </w:r>
    </w:p>
    <w:p>
      <w:pPr>
        <w:pStyle w:val="NoSpacing"/>
      </w:pPr>
    </w:p>
    <w:p>
      <w:pPr>
        <w:pStyle w:val="NoSpacing"/>
      </w:pPr>
      <w:r>
        <w:rPr>
          <w:b/>
          <w:color w:val="A66500"/>
        </w:rPr>
        <w:t>Opportunities</w:t>
      </w:r>
    </w:p>
    <w:p>
      <w:pPr>
        <w:pStyle w:val="NoSpacing"/>
      </w:pPr>
      <w:r>
        <w:rPr>
          <w:b/>
          <w:color w:val="000000"/>
        </w:rPr>
        <w:t>1. A live World Heritage nomination to build on</w:t>
      </w:r>
    </w:p>
    <w:p>
      <w:pPr>
        <w:pStyle w:val="NoSpacing"/>
      </w:pPr>
      <w:r>
        <w:t>Saudi Arabia's Gulf of Aqaba coral-reef nomination is being examined at the UNESCO World Heritage Committee in Busan and has been recommended for referral rather than rejection, with IUCN endorsing the reef system's global significance. A referral is an invitation to strengthen and resubmit, and it keeps the Kingdom's natural- and cultural-heritage story in an international forum alongside its eight inscribed sites.</w:t>
      </w:r>
    </w:p>
    <w:p>
      <w:pPr>
        <w:pStyle w:val="NoSpacing"/>
      </w:pPr>
      <w:r>
        <w:rPr>
          <w:b/>
        </w:rPr>
        <w:t xml:space="preserve">Source: </w:t>
      </w:r>
      <w:hyperlink r:id="rId13">
        <w:r>
          <w:rPr>
            <w:color w:val="0000FF"/>
            <w:u w:val="single"/>
            <w:rFonts w:ascii="Times New Roman" w:hAnsi="Times New Roman"/>
          </w:rPr>
          <w:t xml:space="preserve">UNESCO</w:t>
        </w:r>
      </w:hyperlink>
    </w:p>
    <w:p>
      <w:pPr>
        <w:pStyle w:val="NoSpacing"/>
      </w:pPr>
      <w:r>
        <w:rPr>
          <w:b/>
        </w:rPr>
        <w:t xml:space="preserve">Consideration: </w:t>
      </w:r>
      <w:r>
        <w:t>Treat the referral constructively by publicly committing to refine the dossier, and connect the reef bid to the broader heritage-stewardship and responsible-tourism narrative rather than presenting it as a setback.</w:t>
      </w:r>
    </w:p>
    <w:p>
      <w:pPr>
        <w:pStyle w:val="NoSpacing"/>
      </w:pPr>
    </w:p>
    <w:p>
      <w:pPr>
        <w:pStyle w:val="NoSpacing"/>
      </w:pPr>
      <w:r>
        <w:rPr>
          <w:b/>
          <w:color w:val="000000"/>
        </w:rPr>
        <w:t>2. Benchmarking against the global cultural and creative-economy circuit</w:t>
      </w:r>
    </w:p>
    <w:p>
      <w:pPr>
        <w:pStyle w:val="NoSpacing"/>
      </w:pPr>
      <w:r>
        <w:t>This week's international cultural calendar — the Venice Film Festival line-up, San Diego Comic-Con and Michelin's continued expansion in Italy — maps the festival, screen-IP and culinary-recognition circuits the Kingdom is investing to join through the Red Sea International Film Festival, its entertainment strategy and the Michelin Guide Saudi Arabia.</w:t>
      </w:r>
    </w:p>
    <w:p>
      <w:pPr>
        <w:pStyle w:val="NoSpacing"/>
      </w:pPr>
      <w:r>
        <w:rPr>
          <w:b/>
        </w:rPr>
        <w:t xml:space="preserve">Source: </w:t>
      </w:r>
      <w:hyperlink r:id="rId16">
        <w:r>
          <w:rPr>
            <w:color w:val="0000FF"/>
            <w:u w:val="single"/>
            <w:rFonts w:ascii="Times New Roman" w:hAnsi="Times New Roman"/>
          </w:rPr>
          <w:t xml:space="preserve">IndieWire</w:t>
        </w:r>
      </w:hyperlink>
      <w:r>
        <w:rPr>
          <w:b w:val="0"/>
        </w:rPr>
        <w:t xml:space="preserve">, </w:t>
      </w:r>
      <w:hyperlink r:id="rId17">
        <w:r>
          <w:rPr>
            <w:color w:val="0000FF"/>
            <w:u w:val="single"/>
            <w:rFonts w:ascii="Times New Roman" w:hAnsi="Times New Roman"/>
          </w:rPr>
          <w:t xml:space="preserve">Variety</w:t>
        </w:r>
      </w:hyperlink>
      <w:r>
        <w:rPr>
          <w:b w:val="0"/>
        </w:rPr>
        <w:t xml:space="preserve">, </w:t>
      </w:r>
      <w:hyperlink r:id="rId19">
        <w:r>
          <w:rPr>
            <w:color w:val="0000FF"/>
            <w:u w:val="single"/>
            <w:rFonts w:ascii="Times New Roman" w:hAnsi="Times New Roman"/>
          </w:rPr>
          <w:t xml:space="preserve">Reporter Gourmet</w:t>
        </w:r>
      </w:hyperlink>
    </w:p>
    <w:p>
      <w:pPr>
        <w:pStyle w:val="NoSpacing"/>
      </w:pPr>
      <w:r>
        <w:rPr>
          <w:b/>
        </w:rPr>
        <w:t xml:space="preserve">Consideration: </w:t>
      </w:r>
      <w:r>
        <w:t>Use these reference points to frame Saudi cultural programmes as part of an emerging international circuit, connecting individual announcements into a coherent national narrative without overstating Ministry ownership of independent institutions or events.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ytimes.com/2026/07/23/world/middleeast/saudi-arabia-nuclear.html" TargetMode="External"/><Relationship Id="rId10" Type="http://schemas.openxmlformats.org/officeDocument/2006/relationships/hyperlink" Target="https://www.cnbc.com/2026/07/23/oil-prices-today-wti-brent-trump-iran-hormuz.html" TargetMode="External"/><Relationship Id="rId11" Type="http://schemas.openxmlformats.org/officeDocument/2006/relationships/hyperlink" Target="https://www.theguardian.com/business/2026/jul/23/bab-al-mandab-blockade-push-oil-100-houthi-ships" TargetMode="External"/><Relationship Id="rId12" Type="http://schemas.openxmlformats.org/officeDocument/2006/relationships/hyperlink" Target="https://www.nytimes.com/2026/07/23/world/middleeast/trump-saudi-arabia-palestinian-state.html" TargetMode="External"/><Relationship Id="rId13" Type="http://schemas.openxmlformats.org/officeDocument/2006/relationships/hyperlink" Target="https://www.unesco.org/en/articles/world-heritage-committee-will-examine-new-nominations-and-state-conservation-inscribed-sites" TargetMode="External"/><Relationship Id="rId14" Type="http://schemas.openxmlformats.org/officeDocument/2006/relationships/hyperlink" Target="https://www.theguardian.com/commentisfree/2026/jul/23/trump-saudi-nuclear-deal" TargetMode="External"/><Relationship Id="rId15" Type="http://schemas.openxmlformats.org/officeDocument/2006/relationships/hyperlink" Target="https://foreignpolicy.com/2026/07/23/trump-us-saudi-nuclear-deal-weapons-iran-israel-arms-race/" TargetMode="External"/><Relationship Id="rId16" Type="http://schemas.openxmlformats.org/officeDocument/2006/relationships/hyperlink" Target="https://www.indiewire.com/news/festivals/venice-film-festival-reveals-2026-lineup-1235206616/" TargetMode="External"/><Relationship Id="rId17" Type="http://schemas.openxmlformats.org/officeDocument/2006/relationships/hyperlink" Target="https://variety.com/2026/film/news/vijay-jana-nayagan-release-date-2-1236811540/" TargetMode="External"/><Relationship Id="rId18" Type="http://schemas.openxmlformats.org/officeDocument/2006/relationships/hyperlink" Target="https://www.hollywoodreporter.com/movies/movie-news/comic-con-2026-hall-h-preview-1236653276/" TargetMode="External"/><Relationship Id="rId19" Type="http://schemas.openxmlformats.org/officeDocument/2006/relationships/hyperlink" Target="https://reportergourmet.com/en/news/10512-michelin-guide-italy-15-new-entries-in-july-from-pascuccis-bistro-to-the-boom-in-basilicata-the-restaur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