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16 August 2026</w:t>
      </w:r>
    </w:p>
    <w:p>
      <w:pPr>
        <w:pStyle w:val="NoSpacing"/>
      </w:pPr>
    </w:p>
    <w:p>
      <w:pPr>
        <w:pStyle w:val="NoSpacing"/>
      </w:pPr>
      <w:r>
        <w:rPr>
          <w:b/>
          <w:color w:val="4A86E8"/>
        </w:rPr>
        <w:t>Saudi Arabia/Regional</w:t>
      </w:r>
    </w:p>
    <w:p>
      <w:pPr>
        <w:pStyle w:val="ListBullet"/>
      </w:pPr>
      <w:r>
        <w:t>Why the Gulf's economy has defied early war predictions</w:t>
      </w:r>
    </w:p>
    <w:p>
      <w:pPr>
        <w:pStyle w:val="ListBullet"/>
      </w:pPr>
      <w:r>
        <w:t>UAE to defend Strait of Hormuz rights after attack on Adnoc vessel, Dr Gargash says</w:t>
      </w:r>
    </w:p>
    <w:p>
      <w:pPr>
        <w:pStyle w:val="ListBullet"/>
      </w:pPr>
      <w:r>
        <w:t>How a pragmatic axis could reshape the Middle East</w:t>
      </w:r>
    </w:p>
    <w:p>
      <w:pPr>
        <w:pStyle w:val="NoSpacing"/>
      </w:pPr>
    </w:p>
    <w:p>
      <w:pPr>
        <w:pStyle w:val="NoSpacing"/>
      </w:pPr>
      <w:r>
        <w:rPr>
          <w:b/>
          <w:color w:val="EE0000"/>
        </w:rPr>
        <w:t>Negative Articles</w:t>
      </w:r>
    </w:p>
    <w:p>
      <w:pPr>
        <w:pStyle w:val="NoSpacing"/>
      </w:pPr>
    </w:p>
    <w:p>
      <w:pPr>
        <w:pStyle w:val="NoSpacing"/>
      </w:pPr>
      <w:r>
        <w:rPr>
          <w:b/>
          <w:color w:val="4A86E8"/>
        </w:rPr>
        <w:t>Global</w:t>
      </w:r>
    </w:p>
    <w:p>
      <w:pPr>
        <w:pStyle w:val="ListBullet"/>
      </w:pPr>
      <w:r>
        <w:t>NUA Arquitectures renovates Catalan textile warehouse with timber office block</w:t>
      </w:r>
    </w:p>
    <w:p>
      <w:pPr>
        <w:pStyle w:val="ListBullet"/>
      </w:pPr>
      <w:r>
        <w:t>Helen &amp; Hard uses uprooted spruce trees to shape Norwegian cabin</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Five months into the US-Iran war, the Gulf's economies have proven more resilient than the initial shock scenarios assumed, with the sharper threat turning out to be prolonged disruption to Strait of Hormuz trade rather than a simple oil-price spike — The National notes the World Bank has already cut its 2026 Gulf growth forecast from 4.4 to 1.3 per cent. For the Kingdom this resilience is the macro backdrop against which cultural-sector investment and Vision 2030 diversification are judged, and it strengthens the case for the non-oil, logistics and supply-chain resilience the creative economy ultimately rests on. (</w:t>
      </w:r>
      <w:hyperlink r:id="rId9">
        <w:r>
          <w:rPr>
            <w:color w:val="0000FF"/>
            <w:u w:val="single"/>
            <w:rFonts w:ascii="Times New Roman" w:hAnsi="Times New Roman"/>
          </w:rPr>
          <w:t xml:space="preserve">The National</w:t>
        </w:r>
      </w:hyperlink>
      <w:r>
        <w:rPr>
          <w:b w:val="0"/>
        </w:rPr>
        <w:t>)</w:t>
      </w:r>
    </w:p>
    <w:p>
      <w:pPr>
        <w:pStyle w:val="ListBullet"/>
      </w:pPr>
      <w:r>
        <w:rPr>
          <w:b w:val="0"/>
        </w:rPr>
        <w:t>The UAE said it would defend its freedom-of-navigation rights through the Strait of Hormuz after a third attack in a week on an Adnoc tanker, with presidential diplomatic adviser Anwar Gargash describing Abu Dhabi's posture as "balanced and rational" — deterrence, diplomacy and adherence to international law. The item is relevant as regional-security context for the Kingdom, whose parallel Red Sea and Bab al-Mandeb shipping exposure shapes the same logistics-and-confidence environment in which international cultural events and visitor flows are planned. (</w:t>
      </w:r>
      <w:hyperlink r:id="rId10">
        <w:r>
          <w:rPr>
            <w:color w:val="0000FF"/>
            <w:u w:val="single"/>
            <w:rFonts w:ascii="Times New Roman" w:hAnsi="Times New Roman"/>
          </w:rPr>
          <w:t xml:space="preserve">The National</w:t>
        </w:r>
      </w:hyperlink>
      <w:r>
        <w:rPr>
          <w:b w:val="0"/>
        </w:rPr>
        <w:t>)</w:t>
      </w:r>
    </w:p>
    <w:p>
      <w:pPr>
        <w:pStyle w:val="ListBullet"/>
      </w:pPr>
      <w:r>
        <w:rPr>
          <w:b w:val="0"/>
        </w:rPr>
        <w:t>In an opinion piece, Middle East Eye argues that a "pragmatic axis" anchored by Riyadh, Ankara and Islamabad is emerging as a third regional pole, distinct from Iran's "axis of resistance" and the US-Israeli order, placing Saudi Arabia at the centre of a recalibrated regional diplomacy. As commentary from a Qatar-linked outlet its framing should be read as reflecting Doha's vantage point rather than as neutral analysis, but it captures how the Kingdom's diplomatic positioning increasingly shapes the soft-power context in which its cultural outreach operates. (</w:t>
      </w:r>
      <w:hyperlink r:id="rId11">
        <w:r>
          <w:rPr>
            <w:color w:val="0000FF"/>
            <w:u w:val="single"/>
            <w:rFonts w:ascii="Times New Roman" w:hAnsi="Times New Roman"/>
          </w:rPr>
          <w:t xml:space="preserve">Middle East Eye</w:t>
        </w:r>
      </w:hyperlink>
      <w:r>
        <w:rPr>
          <w:b w:val="0"/>
        </w:rPr>
        <w:t>)</w:t>
      </w:r>
    </w:p>
    <w:p>
      <w:pPr>
        <w:pStyle w:val="NoSpacing"/>
      </w:pPr>
    </w:p>
    <w:p>
      <w:pPr>
        <w:pStyle w:val="NoSpacing"/>
      </w:pPr>
      <w:r>
        <w:rPr>
          <w:b/>
          <w:color w:val="EE0000"/>
        </w:rPr>
        <w:t>Negative Articles</w:t>
      </w:r>
    </w:p>
    <w:p>
      <w:pPr>
        <w:pStyle w:val="NoSpacing"/>
      </w:pPr>
    </w:p>
    <w:p>
      <w:pPr>
        <w:pStyle w:val="NoSpacing"/>
      </w:pPr>
      <w:r>
        <w:rPr>
          <w:b/>
          <w:color w:val="4A86E8"/>
        </w:rPr>
        <w:t>Global</w:t>
      </w:r>
    </w:p>
    <w:p>
      <w:pPr>
        <w:pStyle w:val="NoSpacing"/>
      </w:pPr>
      <w:r>
        <w:rPr>
          <w:b/>
          <w:color w:val="000000"/>
        </w:rPr>
        <w:t>Architecture and Design:</w:t>
      </w:r>
    </w:p>
    <w:p>
      <w:pPr>
        <w:pStyle w:val="ListBullet"/>
      </w:pPr>
      <w:r>
        <w:rPr>
          <w:b w:val="0"/>
        </w:rPr>
        <w:t>Dezeen featured NUA Arquitectures' conversion of a former Catalan textile warehouse into a timber-framed office block, inserting a light wooden structure inside the retained industrial shell rather than demolishing it. The adaptive-reuse approach — keeping industrial-heritage fabric in active use while giving it a contemporary working life — is a useful international reference point for the Kingdom's own repurposing of industrial and heritage buildings into cultural venues. (</w:t>
      </w:r>
      <w:hyperlink r:id="rId12">
        <w:r>
          <w:rPr>
            <w:color w:val="0000FF"/>
            <w:u w:val="single"/>
            <w:rFonts w:ascii="Times New Roman" w:hAnsi="Times New Roman"/>
          </w:rPr>
          <w:t xml:space="preserve">Dezeen</w:t>
        </w:r>
      </w:hyperlink>
      <w:r>
        <w:rPr>
          <w:b w:val="0"/>
        </w:rPr>
        <w:t>)</w:t>
      </w:r>
    </w:p>
    <w:p>
      <w:pPr>
        <w:pStyle w:val="ListBullet"/>
      </w:pPr>
      <w:r>
        <w:rPr>
          <w:b w:val="0"/>
        </w:rPr>
        <w:t>Norwegian studio Helen &amp; Hard completed a coastal cabin whose frame is built from spruce trees uprooted in a storm, turning salvaged timber and updated traditional joinery into the structure itself. The project reflects a wider global appetite for low-impact, materials-led design that Saudi architecture and design programmes can benchmark against as they develop a distinctive, sustainability-minded built-environment identity. (</w:t>
      </w:r>
      <w:hyperlink r:id="rId13">
        <w:r>
          <w:rPr>
            <w:color w:val="0000FF"/>
            <w:u w:val="single"/>
            <w:rFonts w:ascii="Times New Roman" w:hAnsi="Times New Roman"/>
          </w:rPr>
          <w:t xml:space="preserve">Dezeen</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security and shipping disruption weigh on the cultural calendar</w:t>
      </w:r>
    </w:p>
    <w:p>
      <w:pPr>
        <w:pStyle w:val="NoSpacing"/>
      </w:pPr>
      <w:r>
        <w:t>Continued Houthi activity in the Red Sea and repeated strikes on Gulf tankers in the Strait of Hormuz are unsettling the shipping, logistics and visitor-confidence environment across the region, even as Gulf economies have so far absorbed the shock better than early forecasts feared. For a Kingdom staging an expanding programme of international biennales, festivals and exhibitions, prolonged instability is a live risk to inbound participation and to the perception of the region as a dependable cultural destination.</w:t>
      </w:r>
    </w:p>
    <w:p>
      <w:pPr>
        <w:pStyle w:val="NoSpacing"/>
      </w:pPr>
      <w:r>
        <w:rPr>
          <w:b/>
        </w:rPr>
        <w:t xml:space="preserve">Source: </w:t>
      </w:r>
      <w:hyperlink r:id="rId9">
        <w:r>
          <w:rPr>
            <w:color w:val="0000FF"/>
            <w:u w:val="single"/>
            <w:rFonts w:ascii="Times New Roman" w:hAnsi="Times New Roman"/>
          </w:rPr>
          <w:t xml:space="preserve">The National</w:t>
        </w:r>
      </w:hyperlink>
      <w:r>
        <w:rPr>
          <w:b w:val="0"/>
        </w:rPr>
        <w:t xml:space="preserve">, </w:t>
      </w:r>
      <w:hyperlink r:id="rId10">
        <w:r>
          <w:rPr>
            <w:color w:val="0000FF"/>
            <w:u w:val="single"/>
            <w:rFonts w:ascii="Times New Roman" w:hAnsi="Times New Roman"/>
          </w:rPr>
          <w:t xml:space="preserve">The National</w:t>
        </w:r>
      </w:hyperlink>
    </w:p>
    <w:p>
      <w:pPr>
        <w:pStyle w:val="NoSpacing"/>
      </w:pPr>
      <w:r>
        <w:rPr>
          <w:b/>
        </w:rPr>
        <w:t xml:space="preserve">Consideration: </w:t>
      </w:r>
      <w:r>
        <w:t>Keep the Ministry's cultural narrative deliberately distinct from the regional-security story, foregrounding credible delivery, public access, safe international participation and Saudi talent rather than engaging the conflict narrative directly.</w:t>
      </w:r>
    </w:p>
    <w:p>
      <w:pPr>
        <w:pStyle w:val="NoSpacing"/>
      </w:pPr>
    </w:p>
    <w:p>
      <w:pPr>
        <w:pStyle w:val="NoSpacing"/>
      </w:pPr>
      <w:r>
        <w:rPr>
          <w:b/>
          <w:color w:val="A66500"/>
        </w:rPr>
        <w:t>Opportunities</w:t>
      </w:r>
    </w:p>
    <w:p>
      <w:pPr>
        <w:pStyle w:val="NoSpacing"/>
      </w:pPr>
      <w:r>
        <w:rPr>
          <w:b/>
          <w:color w:val="000000"/>
        </w:rPr>
        <w:t>1. Economic resilience underpins the diversification story</w:t>
      </w:r>
    </w:p>
    <w:p>
      <w:pPr>
        <w:pStyle w:val="NoSpacing"/>
      </w:pPr>
      <w:r>
        <w:t>The Gulf's better-than-expected economic performance through the war reinforces the diversification narrative that the cultural and creative sector sits within, and helps sustain the fiscal space for continued cultural investment.</w:t>
      </w:r>
    </w:p>
    <w:p>
      <w:pPr>
        <w:pStyle w:val="NoSpacing"/>
      </w:pPr>
      <w:r>
        <w:rPr>
          <w:b/>
        </w:rPr>
        <w:t xml:space="preserve">Source: </w:t>
      </w:r>
      <w:hyperlink r:id="rId9">
        <w:r>
          <w:rPr>
            <w:color w:val="0000FF"/>
            <w:u w:val="single"/>
            <w:rFonts w:ascii="Times New Roman" w:hAnsi="Times New Roman"/>
          </w:rPr>
          <w:t xml:space="preserve">The National</w:t>
        </w:r>
      </w:hyperlink>
    </w:p>
    <w:p>
      <w:pPr>
        <w:pStyle w:val="NoSpacing"/>
      </w:pPr>
      <w:r>
        <w:rPr>
          <w:b/>
        </w:rPr>
        <w:t xml:space="preserve">Consideration: </w:t>
      </w:r>
      <w:r>
        <w:t>Connect cultural-sector delivery explicitly to the resilience-and-diversification story rather than presenting cultural milestones as isolated announcements.</w:t>
      </w:r>
    </w:p>
    <w:p>
      <w:pPr>
        <w:pStyle w:val="NoSpacing"/>
      </w:pPr>
    </w:p>
    <w:p>
      <w:pPr>
        <w:pStyle w:val="NoSpacing"/>
      </w:pPr>
      <w:r>
        <w:rPr>
          <w:b/>
          <w:color w:val="000000"/>
        </w:rPr>
        <w:t>2. Global adaptive-reuse and sustainable design offer a benchmark</w:t>
      </w:r>
    </w:p>
    <w:p>
      <w:pPr>
        <w:pStyle w:val="NoSpacing"/>
      </w:pPr>
      <w:r>
        <w:t>International coverage this window of heritage-adaptive conversion and low-impact, materials-led architecture points to a global design conversation that the Kingdom's own adaptive-reuse and design ambitions can be positioned within.</w:t>
      </w:r>
    </w:p>
    <w:p>
      <w:pPr>
        <w:pStyle w:val="NoSpacing"/>
      </w:pPr>
      <w:r>
        <w:rPr>
          <w:b/>
        </w:rPr>
        <w:t xml:space="preserve">Source: </w:t>
      </w:r>
      <w:hyperlink r:id="rId12">
        <w:r>
          <w:rPr>
            <w:color w:val="0000FF"/>
            <w:u w:val="single"/>
            <w:rFonts w:ascii="Times New Roman" w:hAnsi="Times New Roman"/>
          </w:rPr>
          <w:t xml:space="preserve">Dezeen</w:t>
        </w:r>
      </w:hyperlink>
      <w:r>
        <w:rPr>
          <w:b w:val="0"/>
        </w:rPr>
        <w:t xml:space="preserve">, </w:t>
      </w:r>
      <w:hyperlink r:id="rId13">
        <w:r>
          <w:rPr>
            <w:color w:val="0000FF"/>
            <w:u w:val="single"/>
            <w:rFonts w:ascii="Times New Roman" w:hAnsi="Times New Roman"/>
          </w:rPr>
          <w:t xml:space="preserve">Dezeen</w:t>
        </w:r>
      </w:hyperlink>
    </w:p>
    <w:p>
      <w:pPr>
        <w:pStyle w:val="NoSpacing"/>
      </w:pPr>
      <w:r>
        <w:rPr>
          <w:b/>
        </w:rPr>
        <w:t xml:space="preserve">Consideration: </w:t>
      </w:r>
      <w:r>
        <w:t>Benchmark Saudi adaptive-reuse and sustainable-design projects against this international momentum, taking care not to imply Ministry involvement in these specific overseas projects.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nationalnews.com/business/economy/2026/08/15/why-the-gulfs-economy-has-defied-early-war-predictions/" TargetMode="External"/><Relationship Id="rId10" Type="http://schemas.openxmlformats.org/officeDocument/2006/relationships/hyperlink" Target="https://www.thenationalnews.com/news/mena/2026/08/15/uae-to-defend-strait-of-hormuz-rights-after-attack-on-adnoc-vessel-dr-gargash-says/" TargetMode="External"/><Relationship Id="rId11" Type="http://schemas.openxmlformats.org/officeDocument/2006/relationships/hyperlink" Target="https://www.middleeasteye.net/live-blog/live-blog-update/how-pragmatic-axis-could-reshape-middle-east" TargetMode="External"/><Relationship Id="rId12" Type="http://schemas.openxmlformats.org/officeDocument/2006/relationships/hyperlink" Target="https://www.dezeen.com/2026/08/16/nua-arquitectures-tuvatextil-office/" TargetMode="External"/><Relationship Id="rId13" Type="http://schemas.openxmlformats.org/officeDocument/2006/relationships/hyperlink" Target="https://www.dezeen.com/2026/08/15/cabin-sande-spruce-trees-norway-atlanic-ocean-helen-hard-archit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