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color w:val="4A86E8"/>
          <w:sz w:val="24"/>
        </w:rPr>
        <w:t>Headlines, 21 July 2026</w:t>
      </w:r>
    </w:p>
    <w:p>
      <w:pPr>
        <w:spacing w:before="120" w:after="60"/>
      </w:pPr>
      <w:r>
        <w:rPr>
          <w:b/>
          <w:color w:val="4A86E8"/>
          <w:sz w:val="24"/>
        </w:rPr>
        <w:t>Saudi Arabia/Regional</w:t>
      </w:r>
    </w:p>
    <w:p>
      <w:pPr>
        <w:pStyle w:val="ListBullet"/>
        <w:spacing w:after="40"/>
      </w:pPr>
      <w:r>
        <w:rPr>
          <w:sz w:val="24"/>
        </w:rPr>
        <w:t>Yemen's Houthis declare naval blockade on Saudi Arabia</w:t>
      </w:r>
    </w:p>
    <w:p>
      <w:pPr>
        <w:pStyle w:val="ListBullet"/>
        <w:spacing w:after="40"/>
      </w:pPr>
      <w:r>
        <w:rPr>
          <w:sz w:val="24"/>
        </w:rPr>
        <w:t>Saudi-Led Coalition in Yemen Vows to Protect Ships From Houthis</w:t>
      </w:r>
    </w:p>
    <w:p>
      <w:pPr>
        <w:pStyle w:val="ListBullet"/>
        <w:spacing w:after="40"/>
      </w:pPr>
      <w:r>
        <w:rPr>
          <w:sz w:val="24"/>
        </w:rPr>
        <w:t>Iran's Houthi allies declare maritime embargo against Saudi Arabia, escalating threat to oil market</w:t>
      </w:r>
    </w:p>
    <w:p>
      <w:pPr>
        <w:spacing w:before="120" w:after="60"/>
      </w:pPr>
      <w:r>
        <w:rPr>
          <w:b/>
          <w:color w:val="4A86E8"/>
          <w:sz w:val="24"/>
        </w:rPr>
        <w:t>Negative Articles</w:t>
      </w:r>
    </w:p>
    <w:p>
      <w:pPr>
        <w:pStyle w:val="ListBullet"/>
        <w:spacing w:after="40"/>
      </w:pPr>
      <w:r>
        <w:rPr>
          <w:sz w:val="24"/>
        </w:rPr>
        <w:t>Yemen's Houthis declare naval blockade of Saudi Arabia: What to know</w:t>
      </w:r>
    </w:p>
    <w:p>
      <w:pPr>
        <w:pStyle w:val="ListBullet"/>
        <w:spacing w:after="40"/>
      </w:pPr>
      <w:r>
        <w:rPr>
          <w:sz w:val="24"/>
        </w:rPr>
        <w:t>Houthis announce Saudi naval blockade, threatening new front in US-Iran war</w:t>
      </w:r>
    </w:p>
    <w:p>
      <w:pPr>
        <w:spacing w:before="120" w:after="60"/>
      </w:pPr>
      <w:r>
        <w:rPr>
          <w:b/>
          <w:color w:val="4A86E8"/>
          <w:sz w:val="24"/>
        </w:rPr>
        <w:t>Global</w:t>
      </w:r>
    </w:p>
    <w:p>
      <w:pPr>
        <w:pStyle w:val="ListBullet"/>
        <w:spacing w:after="40"/>
      </w:pPr>
      <w:r>
        <w:rPr>
          <w:sz w:val="24"/>
        </w:rPr>
        <w:t>The Armory Show reveals 230-gallery line-up and move to late September</w:t>
      </w:r>
    </w:p>
    <w:p>
      <w:pPr>
        <w:pStyle w:val="ListBullet"/>
        <w:spacing w:after="40"/>
      </w:pPr>
      <w:r>
        <w:rPr>
          <w:sz w:val="24"/>
        </w:rPr>
        <w:t>Cuban Artist Luis Manuel Otero Alcántara Exiled to the US</w:t>
      </w:r>
    </w:p>
    <w:p>
      <w:pPr>
        <w:pStyle w:val="ListBullet"/>
        <w:spacing w:after="40"/>
      </w:pPr>
      <w:r>
        <w:rPr>
          <w:sz w:val="24"/>
        </w:rPr>
        <w:t>2,700-Year-Old Irrigation System Studied in Armenia</w:t>
      </w:r>
    </w:p>
    <w:p>
      <w:pPr>
        <w:pStyle w:val="ListBullet"/>
        <w:spacing w:after="40"/>
      </w:pPr>
      <w:r>
        <w:rPr>
          <w:sz w:val="24"/>
        </w:rPr>
        <w:t>Activists Sue to Stop Frida Kahlo Works From Leaving Mexico</w:t>
      </w:r>
    </w:p>
    <w:p>
      <w:pPr>
        <w:pStyle w:val="ListBullet"/>
        <w:spacing w:after="40"/>
      </w:pPr>
      <w:r>
        <w:rPr>
          <w:sz w:val="24"/>
        </w:rPr>
        <w:t>Kynren opens new daytime theme park, The Storied Lands</w:t>
      </w:r>
    </w:p>
    <w:p>
      <w:pPr>
        <w:pStyle w:val="ListBullet"/>
        <w:spacing w:after="40"/>
      </w:pPr>
      <w:r>
        <w:rPr>
          <w:sz w:val="24"/>
        </w:rPr>
        <w:t>New Museum's Shiny New Building Leaks During Flash Floods</w:t>
      </w:r>
    </w:p>
    <w:p>
      <w:pPr>
        <w:pStyle w:val="ListBullet"/>
        <w:spacing w:after="40"/>
      </w:pPr>
      <w:r>
        <w:rPr>
          <w:sz w:val="24"/>
        </w:rPr>
        <w:t>The Architecture of the FIFA World Cup: Looking Back at 2026 and Ahead to 2030</w:t>
      </w:r>
    </w:p>
    <w:p>
      <w:pPr>
        <w:pStyle w:val="ListBullet"/>
        <w:spacing w:after="40"/>
      </w:pPr>
      <w:r>
        <w:rPr>
          <w:sz w:val="24"/>
        </w:rPr>
        <w:t>Toronto Film Festival Unveils First 2026 Lineups</w:t>
      </w:r>
    </w:p>
    <w:p>
      <w:r>
        <w:br w:type="page"/>
      </w:r>
    </w:p>
    <w:p>
      <w:pPr>
        <w:spacing w:before="120" w:after="60"/>
      </w:pPr>
      <w:r>
        <w:rPr>
          <w:b/>
          <w:color w:val="4A86E8"/>
          <w:sz w:val="24"/>
        </w:rPr>
        <w:t>Saudi Arabia/Regional</w:t>
      </w:r>
    </w:p>
    <w:p>
      <w:pPr>
        <w:spacing w:before="80" w:after="20"/>
      </w:pPr>
      <w:r>
        <w:rPr>
          <w:b/>
          <w:color w:val="000000"/>
          <w:sz w:val="24"/>
        </w:rPr>
        <w:t>General (عام)</w:t>
      </w:r>
    </w:p>
    <w:p>
      <w:pPr>
        <w:pStyle w:val="ListBullet"/>
        <w:spacing w:after="40"/>
      </w:pPr>
      <w:r>
        <w:rPr>
          <w:b w:val="0"/>
        </w:rPr>
        <w:t>Yemen's Iran-aligned Houthis have declared a naval blockade on Saudi Arabia, with spokesman Yahya Saree describing it as a maritime embargo against the Kingdom in response to what the group calls an oppressive siege on Sana'a. The declaration opens a new Red Sea front and directly threatens the shipping lanes through which a large share of Saudi oil exports move. For the Ministry, it sharpens the contrast between the Kingdom's outward cultural-openness narrative and a hardening regional-security backdrop that now dominates its international coverage. (</w:t>
      </w:r>
      <w:hyperlink r:id="rId9">
        <w:r>
          <w:rPr>
            <w:color w:val="0563C1"/>
            <w:u w:val="single"/>
            <w:rFonts w:ascii="Aptos" w:hAnsi="Aptos"/>
          </w:rPr>
          <w:t xml:space="preserve">Nikkei Asia</w:t>
        </w:r>
      </w:hyperlink>
      <w:r>
        <w:rPr>
          <w:b w:val="0"/>
        </w:rPr>
        <w:t>)</w:t>
      </w:r>
    </w:p>
    <w:p>
      <w:pPr>
        <w:pStyle w:val="ListBullet"/>
        <w:spacing w:after="40"/>
      </w:pPr>
      <w:r>
        <w:rPr>
          <w:b w:val="0"/>
        </w:rPr>
        <w:t>In response to the Houthi declaration, the Saudi-led coalition in Yemen said it had begun implementing measures to protect vessels transiting the Bab el-Mandeb strait, calling the blockade threat a violation of international law amounting to maritime piracy. The rapid coalition response signals Riyadh's intent to keep its shipping lanes open and project control rather than vulnerability. How that security posture is communicated will shape whether international audiences read the episode as instability or as competent crisis management. (</w:t>
      </w:r>
      <w:hyperlink r:id="rId10">
        <w:r>
          <w:rPr>
            <w:color w:val="0563C1"/>
            <w:u w:val="single"/>
            <w:rFonts w:ascii="Aptos" w:hAnsi="Aptos"/>
          </w:rPr>
          <w:t xml:space="preserve">Bloomberg</w:t>
        </w:r>
      </w:hyperlink>
      <w:r>
        <w:rPr>
          <w:b w:val="0"/>
        </w:rPr>
        <w:t>)</w:t>
      </w:r>
    </w:p>
    <w:p>
      <w:pPr>
        <w:pStyle w:val="ListBullet"/>
        <w:spacing w:after="40"/>
      </w:pPr>
      <w:r>
        <w:rPr>
          <w:b w:val="0"/>
        </w:rPr>
        <w:t>Coverage of the embargo has centred on its economic fallout, with analysts warning that disruption to Saudi crude routed through the Red Sea could tighten global supply and push prices higher at a time when traffic through the Strait of Hormuz is already strained. The framing places Saudi economic exposure, rather than the Kingdom's cultural or investment ambitions, at the centre of the international story. It underlines why non-oil sectors, including culture and the creative economy, matter to the Kingdom's wider resilience narrative. (</w:t>
      </w:r>
      <w:hyperlink r:id="rId11">
        <w:r>
          <w:rPr>
            <w:color w:val="0563C1"/>
            <w:u w:val="single"/>
            <w:rFonts w:ascii="Aptos" w:hAnsi="Aptos"/>
          </w:rPr>
          <w:t xml:space="preserve">CNBC</w:t>
        </w:r>
      </w:hyperlink>
      <w:r>
        <w:rPr>
          <w:b w:val="0"/>
        </w:rPr>
        <w:t>)</w:t>
      </w:r>
    </w:p>
    <w:p>
      <w:pPr>
        <w:spacing w:before="120" w:after="60"/>
      </w:pPr>
      <w:r>
        <w:rPr>
          <w:b/>
          <w:color w:val="4A86E8"/>
          <w:sz w:val="24"/>
        </w:rPr>
        <w:t>Negative Articles</w:t>
      </w:r>
    </w:p>
    <w:p>
      <w:pPr>
        <w:pStyle w:val="ListBullet"/>
        <w:spacing w:after="40"/>
      </w:pPr>
      <w:r>
        <w:rPr>
          <w:b w:val="0"/>
        </w:rPr>
        <w:t>Qatari state-funded Al Jazeera's explainer on the blockade foregrounds the Houthi characterisation of Saudi Arabia as waging an "unjust and oppressive" twelve-year siege on Yemen, reviving a wartime-aggressor narrative around the Kingdom. Coming from an outlet whose framing on sensitive Gulf topics reflects Doha's interests, the piece shows how the escalation is being used to reopen reputational lines the Kingdom has worked to move past. (</w:t>
      </w:r>
      <w:hyperlink r:id="rId12">
        <w:r>
          <w:rPr>
            <w:color w:val="0563C1"/>
            <w:u w:val="single"/>
            <w:rFonts w:ascii="Aptos" w:hAnsi="Aptos"/>
          </w:rPr>
          <w:t xml:space="preserve">Al Jazeera</w:t>
        </w:r>
      </w:hyperlink>
      <w:r>
        <w:rPr>
          <w:b w:val="0"/>
        </w:rPr>
        <w:t>)</w:t>
      </w:r>
    </w:p>
    <w:p>
      <w:pPr>
        <w:pStyle w:val="ListBullet"/>
        <w:spacing w:after="40"/>
      </w:pPr>
      <w:r>
        <w:rPr>
          <w:b w:val="0"/>
        </w:rPr>
        <w:t>An Associated Press report carried by regional US titles frames the blockade as opening a new front on Saudi soil in a widening US-Iran confrontation, tying the Kingdom directly into escalating hostilities. Widely syndicated, this framing risks embedding a regional-instability association in exactly the international outlets whose audiences the Kingdom courts for tourism and investment. (</w:t>
      </w:r>
      <w:hyperlink r:id="rId13">
        <w:r>
          <w:rPr>
            <w:color w:val="0563C1"/>
            <w:u w:val="single"/>
            <w:rFonts w:ascii="Aptos" w:hAnsi="Aptos"/>
          </w:rPr>
          <w:t xml:space="preserve">The Spokesman-Review</w:t>
        </w:r>
      </w:hyperlink>
      <w:r>
        <w:rPr>
          <w:b w:val="0"/>
        </w:rPr>
        <w:t>)</w:t>
      </w:r>
    </w:p>
    <w:p>
      <w:pPr>
        <w:spacing w:before="120" w:after="60"/>
      </w:pPr>
      <w:r>
        <w:rPr>
          <w:b/>
          <w:color w:val="4A86E8"/>
          <w:sz w:val="24"/>
        </w:rPr>
        <w:t>Global</w:t>
      </w:r>
    </w:p>
    <w:p>
      <w:pPr>
        <w:spacing w:before="80" w:after="20"/>
      </w:pPr>
      <w:r>
        <w:rPr>
          <w:b/>
          <w:color w:val="000000"/>
          <w:sz w:val="24"/>
        </w:rPr>
        <w:t>Visual Arts (الفنون البصرية)</w:t>
      </w:r>
    </w:p>
    <w:p>
      <w:pPr>
        <w:pStyle w:val="ListBullet"/>
        <w:spacing w:after="40"/>
      </w:pPr>
      <w:r>
        <w:rPr>
          <w:b w:val="0"/>
        </w:rPr>
        <w:t>The Armory Show has revealed a 230-gallery line-up for its 2026 edition and confirmed a move to late September, recalibrating one of the international art calendar's anchor fairs. The scale and scheduling shifts of a major fair offer a useful reference point for Saudi Arabia's own maturing art-fair and gallery ecosystem, including Art Week Riyadh. (</w:t>
      </w:r>
      <w:hyperlink r:id="rId14">
        <w:r>
          <w:rPr>
            <w:color w:val="0563C1"/>
            <w:u w:val="single"/>
            <w:rFonts w:ascii="Aptos" w:hAnsi="Aptos"/>
          </w:rPr>
          <w:t xml:space="preserve">The Art Newspaper</w:t>
        </w:r>
      </w:hyperlink>
      <w:r>
        <w:rPr>
          <w:b w:val="0"/>
        </w:rPr>
        <w:t>)</w:t>
      </w:r>
    </w:p>
    <w:p>
      <w:pPr>
        <w:pStyle w:val="ListBullet"/>
        <w:spacing w:after="40"/>
      </w:pPr>
      <w:r>
        <w:rPr>
          <w:b w:val="0"/>
        </w:rPr>
        <w:t>Hyperallergic reports that prominent Cuban dissident artist Luis Manuel Otero Alcántara has been exiled to the United States, a case that has become emblematic of the global debate over artists, the state and freedom of expression. For any national cultural body, the episode is a reminder of how closely international audiences link a country's cultural standing to the treatment of its individual artists. (</w:t>
      </w:r>
      <w:hyperlink r:id="rId15">
        <w:r>
          <w:rPr>
            <w:color w:val="0563C1"/>
            <w:u w:val="single"/>
            <w:rFonts w:ascii="Aptos" w:hAnsi="Aptos"/>
          </w:rPr>
          <w:t xml:space="preserve">Hyperallergic</w:t>
        </w:r>
      </w:hyperlink>
      <w:r>
        <w:rPr>
          <w:b w:val="0"/>
        </w:rPr>
        <w:t>)</w:t>
      </w:r>
    </w:p>
    <w:p>
      <w:pPr>
        <w:spacing w:before="80" w:after="20"/>
      </w:pPr>
      <w:r>
        <w:rPr>
          <w:b/>
          <w:color w:val="000000"/>
          <w:sz w:val="24"/>
        </w:rPr>
        <w:t>Heritage (التراث)</w:t>
      </w:r>
    </w:p>
    <w:p>
      <w:pPr>
        <w:pStyle w:val="ListBullet"/>
        <w:spacing w:after="40"/>
      </w:pPr>
      <w:r>
        <w:rPr>
          <w:b w:val="0"/>
        </w:rPr>
        <w:t>Archaeology Magazine reports that researchers have used satellite imagery and terrain analysis to study a 2,700-year-old irrigation system in Armenia, reconstructing ancient hydraulic engineering across a wide landscape. The remote-sensing approach mirrors methods already central to large-scale heritage survey work in the Kingdom, such as at AlUla, and points to continued international momentum behind landscape-scale archaeology. (</w:t>
      </w:r>
      <w:hyperlink r:id="rId16">
        <w:r>
          <w:rPr>
            <w:color w:val="0563C1"/>
            <w:u w:val="single"/>
            <w:rFonts w:ascii="Aptos" w:hAnsi="Aptos"/>
          </w:rPr>
          <w:t xml:space="preserve">Archaeology Magazine</w:t>
        </w:r>
      </w:hyperlink>
      <w:r>
        <w:rPr>
          <w:b w:val="0"/>
        </w:rPr>
        <w:t>)</w:t>
      </w:r>
    </w:p>
    <w:p>
      <w:pPr>
        <w:pStyle w:val="ListBullet"/>
        <w:spacing w:after="40"/>
      </w:pPr>
      <w:r>
        <w:rPr>
          <w:b w:val="0"/>
        </w:rPr>
        <w:t>Activists have filed suit to block a group of Frida Kahlo works from leaving Mexico, testing the reach of national cultural-patrimony and export-control laws, Hyperallergic reports. The case is a live illustration of how states balance the international circulation of art against the protection of national treasures, a question directly relevant as the Kingdom builds its own collections and lending frameworks. (</w:t>
      </w:r>
      <w:hyperlink r:id="rId17">
        <w:r>
          <w:rPr>
            <w:color w:val="0563C1"/>
            <w:u w:val="single"/>
            <w:rFonts w:ascii="Aptos" w:hAnsi="Aptos"/>
          </w:rPr>
          <w:t xml:space="preserve">Hyperallergic</w:t>
        </w:r>
      </w:hyperlink>
      <w:r>
        <w:rPr>
          <w:b w:val="0"/>
        </w:rPr>
        <w:t>)</w:t>
      </w:r>
    </w:p>
    <w:p>
      <w:pPr>
        <w:pStyle w:val="ListBullet"/>
        <w:spacing w:after="40"/>
      </w:pPr>
      <w:r>
        <w:rPr>
          <w:b w:val="0"/>
        </w:rPr>
        <w:t>Blooloop reports that the UK heritage attraction Kynren has opened a new daytime theme park, The Storied Lands, extending its live historical storytelling into an immersive all-day visitor experience. The model of turning heritage narrative into a sustained attraction is directly applicable to the Kingdom's cultural-tourism and giga-project ambitions, where heritage interpretation and visitor experience are increasingly intertwined. (</w:t>
      </w:r>
      <w:hyperlink r:id="rId18">
        <w:r>
          <w:rPr>
            <w:color w:val="0563C1"/>
            <w:u w:val="single"/>
            <w:rFonts w:ascii="Aptos" w:hAnsi="Aptos"/>
          </w:rPr>
          <w:t xml:space="preserve">Blooloop</w:t>
        </w:r>
      </w:hyperlink>
      <w:r>
        <w:rPr>
          <w:b w:val="0"/>
        </w:rPr>
        <w:t>)</w:t>
      </w:r>
    </w:p>
    <w:p>
      <w:pPr>
        <w:spacing w:before="80" w:after="20"/>
      </w:pPr>
      <w:r>
        <w:rPr>
          <w:b/>
          <w:color w:val="000000"/>
          <w:sz w:val="24"/>
        </w:rPr>
        <w:t>Museums (المتاحف)</w:t>
      </w:r>
    </w:p>
    <w:p>
      <w:pPr>
        <w:pStyle w:val="ListBullet"/>
        <w:spacing w:after="40"/>
      </w:pPr>
      <w:r>
        <w:rPr>
          <w:b w:val="0"/>
        </w:rPr>
        <w:t>Hyperallergic reports that New York's recently opened New Museum building suffered leaks during flash flooding, raising questions about the climate resilience of new flagship museum architecture. As the Kingdom commissions major new museum buildings, the episode is a cautionary benchmark on designing cultural infrastructure for extreme-weather resilience from the outset. (</w:t>
      </w:r>
      <w:hyperlink r:id="rId19">
        <w:r>
          <w:rPr>
            <w:color w:val="0563C1"/>
            <w:u w:val="single"/>
            <w:rFonts w:ascii="Aptos" w:hAnsi="Aptos"/>
          </w:rPr>
          <w:t xml:space="preserve">Hyperallergic</w:t>
        </w:r>
      </w:hyperlink>
      <w:r>
        <w:rPr>
          <w:b w:val="0"/>
        </w:rPr>
        <w:t>)</w:t>
      </w:r>
    </w:p>
    <w:p>
      <w:pPr>
        <w:spacing w:before="80" w:after="20"/>
      </w:pPr>
      <w:r>
        <w:rPr>
          <w:b/>
          <w:color w:val="000000"/>
          <w:sz w:val="24"/>
        </w:rPr>
        <w:t>Architecture and Design (فنون العمارة والتصميم)</w:t>
      </w:r>
    </w:p>
    <w:p>
      <w:pPr>
        <w:pStyle w:val="ListBullet"/>
        <w:spacing w:after="40"/>
      </w:pPr>
      <w:r>
        <w:rPr>
          <w:b w:val="0"/>
        </w:rPr>
        <w:t>ArchDaily has published an analysis of FIFA World Cup architecture, reviewing the 2026 host venues and looking ahead to 2030. With Saudi Arabia confirmed as host of the 2034 World Cup, the piece is a timely reference on how stadium and host-city design shape a nation's cultural and architectural image on a global stage. (</w:t>
      </w:r>
      <w:hyperlink r:id="rId20">
        <w:r>
          <w:rPr>
            <w:color w:val="0563C1"/>
            <w:u w:val="single"/>
            <w:rFonts w:ascii="Aptos" w:hAnsi="Aptos"/>
          </w:rPr>
          <w:t xml:space="preserve">ArchDaily</w:t>
        </w:r>
      </w:hyperlink>
      <w:r>
        <w:rPr>
          <w:b w:val="0"/>
        </w:rPr>
        <w:t>)</w:t>
      </w:r>
    </w:p>
    <w:p>
      <w:pPr>
        <w:spacing w:before="80" w:after="20"/>
      </w:pPr>
      <w:r>
        <w:rPr>
          <w:b/>
          <w:color w:val="000000"/>
          <w:sz w:val="24"/>
        </w:rPr>
        <w:t>Film (الأفلام)</w:t>
      </w:r>
    </w:p>
    <w:p>
      <w:pPr>
        <w:pStyle w:val="ListBullet"/>
        <w:spacing w:after="40"/>
      </w:pPr>
      <w:r>
        <w:rPr>
          <w:b w:val="0"/>
        </w:rPr>
        <w:t>Deadline reports that the Toronto International Film Festival has unveiled the first of its 2026 line-ups, setting an early marker for the autumn festival and awards season. TIFF's programming choices are a useful benchmark for Saudi Arabia's own festival ambitions, notably the Red Sea International Film Festival, as the Kingdom positions itself on the global festival circuit. (</w:t>
      </w:r>
      <w:hyperlink r:id="rId21">
        <w:r>
          <w:rPr>
            <w:color w:val="0563C1"/>
            <w:u w:val="single"/>
            <w:rFonts w:ascii="Aptos" w:hAnsi="Aptos"/>
          </w:rPr>
          <w:t xml:space="preserve">Deadline</w:t>
        </w:r>
      </w:hyperlink>
      <w:r>
        <w:rPr>
          <w:b w:val="0"/>
        </w:rPr>
        <w:t>)</w:t>
      </w:r>
    </w:p>
    <w:p>
      <w:r>
        <w:br w:type="page"/>
      </w:r>
    </w:p>
    <w:p>
      <w:pPr>
        <w:spacing w:before="120" w:after="60"/>
      </w:pPr>
      <w:r>
        <w:rPr>
          <w:b/>
          <w:color w:val="4A86E8"/>
          <w:sz w:val="24"/>
        </w:rPr>
        <w:t>Risks and Opportunities</w:t>
      </w:r>
    </w:p>
    <w:p>
      <w:pPr>
        <w:spacing w:before="80" w:after="20"/>
      </w:pPr>
      <w:r>
        <w:rPr>
          <w:b/>
          <w:color w:val="C00000"/>
          <w:sz w:val="24"/>
        </w:rPr>
        <w:t>Risks</w:t>
      </w:r>
    </w:p>
    <w:p>
      <w:r>
        <w:rPr>
          <w:b/>
          <w:color w:val="000000"/>
          <w:sz w:val="24"/>
        </w:rPr>
        <w:t>1. Red Sea blockade puts regional-security instability back at the centre of the Saudi story</w:t>
      </w:r>
    </w:p>
    <w:p>
      <w:r>
        <w:rPr>
          <w:sz w:val="24"/>
        </w:rPr>
        <w:t>The Houthi naval-blockade declaration, and its framing as a new front in a widening US-Iran confrontation, has returned regional-security instability to the forefront of international coverage of the Kingdom, cutting against the tourism, investment and cultural-openness narrative the Ministry is helping to build. Qatari-linked coverage has additionally revived a wartime-aggressor framing around Saudi Arabia.</w:t>
      </w:r>
    </w:p>
    <w:p>
      <w:pPr>
        <w:spacing w:after="60"/>
      </w:pPr>
      <w:r>
        <w:rPr>
          <w:b/>
          <w:sz w:val="24"/>
        </w:rPr>
        <w:t xml:space="preserve">Source: </w:t>
      </w:r>
      <w:hyperlink r:id="rId22">
        <w:r>
          <w:rPr>
            <w:color w:val="0563C1"/>
            <w:u w:val="single"/>
            <w:rFonts w:ascii="Aptos" w:hAnsi="Aptos"/>
          </w:rPr>
          <w:t xml:space="preserve">Foreign Policy</w:t>
        </w:r>
      </w:hyperlink>
      <w:r>
        <w:rPr>
          <w:b w:val="0"/>
        </w:rPr>
        <w:t xml:space="preserve">, </w:t>
      </w:r>
      <w:hyperlink r:id="rId13">
        <w:r>
          <w:rPr>
            <w:color w:val="0563C1"/>
            <w:u w:val="single"/>
            <w:rFonts w:ascii="Aptos" w:hAnsi="Aptos"/>
          </w:rPr>
          <w:t xml:space="preserve">The Spokesman-Review</w:t>
        </w:r>
      </w:hyperlink>
      <w:r>
        <w:rPr>
          <w:b w:val="0"/>
        </w:rPr>
        <w:t xml:space="preserve">, </w:t>
      </w:r>
      <w:hyperlink r:id="rId12">
        <w:r>
          <w:rPr>
            <w:color w:val="0563C1"/>
            <w:u w:val="single"/>
            <w:rFonts w:ascii="Aptos" w:hAnsi="Aptos"/>
          </w:rPr>
          <w:t xml:space="preserve">Al Jazeera</w:t>
        </w:r>
      </w:hyperlink>
    </w:p>
    <w:p>
      <w:r>
        <w:rPr>
          <w:b/>
          <w:sz w:val="24"/>
        </w:rPr>
        <w:t xml:space="preserve">Consideration: </w:t>
      </w:r>
      <w:r>
        <w:rPr>
          <w:sz w:val="24"/>
        </w:rPr>
        <w:t>Keep the cultural programme visibly distinct from the security narrative, anchoring communications in credible delivery, public access, heritage stewardship, Saudi talent and safe international cultural participation rather than engaging the geopolitical frame directly.</w:t>
      </w:r>
    </w:p>
    <w:p>
      <w:r>
        <w:rPr>
          <w:b/>
          <w:color w:val="000000"/>
          <w:sz w:val="24"/>
        </w:rPr>
        <w:t>2. Oil and shipping disruption revives economic-fragility perceptions among investors</w:t>
      </w:r>
    </w:p>
    <w:p>
      <w:r>
        <w:rPr>
          <w:sz w:val="24"/>
        </w:rPr>
        <w:t>International coverage has emphasised the blockade's threat to Saudi crude exports and Red Sea shipping, foregrounding the Kingdom's exposure to energy-market and maritime disruption at a moment when it is actively courting non-oil, creative-economy investment.</w:t>
      </w:r>
    </w:p>
    <w:p>
      <w:pPr>
        <w:spacing w:after="60"/>
      </w:pPr>
      <w:r>
        <w:rPr>
          <w:b/>
          <w:sz w:val="24"/>
        </w:rPr>
        <w:t xml:space="preserve">Source: </w:t>
      </w:r>
      <w:hyperlink r:id="rId11">
        <w:r>
          <w:rPr>
            <w:color w:val="0563C1"/>
            <w:u w:val="single"/>
            <w:rFonts w:ascii="Aptos" w:hAnsi="Aptos"/>
          </w:rPr>
          <w:t xml:space="preserve">CNBC</w:t>
        </w:r>
      </w:hyperlink>
      <w:r>
        <w:rPr>
          <w:b w:val="0"/>
        </w:rPr>
        <w:t xml:space="preserve">, </w:t>
      </w:r>
      <w:hyperlink r:id="rId10">
        <w:r>
          <w:rPr>
            <w:color w:val="0563C1"/>
            <w:u w:val="single"/>
            <w:rFonts w:ascii="Aptos" w:hAnsi="Aptos"/>
          </w:rPr>
          <w:t xml:space="preserve">Bloomberg</w:t>
        </w:r>
      </w:hyperlink>
    </w:p>
    <w:p>
      <w:r>
        <w:rPr>
          <w:b/>
          <w:sz w:val="24"/>
        </w:rPr>
        <w:t xml:space="preserve">Consideration: </w:t>
      </w:r>
      <w:r>
        <w:rPr>
          <w:sz w:val="24"/>
        </w:rPr>
        <w:t>Use the moment to reinforce the diversification story, presenting cultural and creative-sector growth as concrete evidence of resilience beyond oil and shipping-lane exposure rather than as a separate good-news track.</w:t>
      </w:r>
    </w:p>
    <w:p>
      <w:pPr>
        <w:spacing w:before="80" w:after="20"/>
      </w:pPr>
      <w:r>
        <w:rPr>
          <w:b/>
          <w:color w:val="A66500"/>
          <w:sz w:val="24"/>
        </w:rPr>
        <w:t>Opportunities</w:t>
      </w:r>
    </w:p>
    <w:p>
      <w:r>
        <w:rPr>
          <w:b/>
          <w:color w:val="000000"/>
          <w:sz w:val="24"/>
        </w:rPr>
        <w:t>1. Global heritage and museum practice offers models the Kingdom can localise</w:t>
      </w:r>
    </w:p>
    <w:p>
      <w:r>
        <w:rPr>
          <w:sz w:val="24"/>
        </w:rPr>
        <w:t>Today's international coverage surfaces several transferable models: landscape-scale, remote-sensing archaeology in Armenia; hard questions about climate resilience in new museum architecture; and immersive heritage-storytelling as a sustained visitor attraction. Together they map closely onto the Kingdom's own heritage-survey, museum-building and cultural-tourism programmes.</w:t>
      </w:r>
    </w:p>
    <w:p>
      <w:pPr>
        <w:spacing w:after="60"/>
      </w:pPr>
      <w:r>
        <w:rPr>
          <w:b/>
          <w:sz w:val="24"/>
        </w:rPr>
        <w:t xml:space="preserve">Source: </w:t>
      </w:r>
      <w:hyperlink r:id="rId16">
        <w:r>
          <w:rPr>
            <w:color w:val="0563C1"/>
            <w:u w:val="single"/>
            <w:rFonts w:ascii="Aptos" w:hAnsi="Aptos"/>
          </w:rPr>
          <w:t xml:space="preserve">Archaeology Magazine</w:t>
        </w:r>
      </w:hyperlink>
      <w:r>
        <w:rPr>
          <w:b w:val="0"/>
        </w:rPr>
        <w:t xml:space="preserve">, </w:t>
      </w:r>
      <w:hyperlink r:id="rId19">
        <w:r>
          <w:rPr>
            <w:color w:val="0563C1"/>
            <w:u w:val="single"/>
            <w:rFonts w:ascii="Aptos" w:hAnsi="Aptos"/>
          </w:rPr>
          <w:t xml:space="preserve">Hyperallergic</w:t>
        </w:r>
      </w:hyperlink>
      <w:r>
        <w:rPr>
          <w:b w:val="0"/>
        </w:rPr>
        <w:t xml:space="preserve">, </w:t>
      </w:r>
      <w:hyperlink r:id="rId18">
        <w:r>
          <w:rPr>
            <w:color w:val="0563C1"/>
            <w:u w:val="single"/>
            <w:rFonts w:ascii="Aptos" w:hAnsi="Aptos"/>
          </w:rPr>
          <w:t xml:space="preserve">Blooloop</w:t>
        </w:r>
      </w:hyperlink>
    </w:p>
    <w:p>
      <w:r>
        <w:rPr>
          <w:b/>
          <w:sz w:val="24"/>
        </w:rPr>
        <w:t xml:space="preserve">Consideration: </w:t>
      </w:r>
      <w:r>
        <w:rPr>
          <w:sz w:val="24"/>
        </w:rPr>
        <w:t>Connect these into a single learning-from-global-best-practice narrative, with heritage science, climate-resilient institutions and immersive interpretation advancing together, rather than treating them as isolated foreign stories.</w:t>
      </w:r>
    </w:p>
    <w:p>
      <w:r>
        <w:rPr>
          <w:b/>
          <w:color w:val="000000"/>
          <w:sz w:val="24"/>
        </w:rPr>
        <w:t>2. Mega-event architecture and festival benchmarks ahead of 2034</w:t>
      </w:r>
    </w:p>
    <w:p>
      <w:r>
        <w:rPr>
          <w:sz w:val="24"/>
        </w:rPr>
        <w:t>Analysis of World Cup host-city architecture and the opening moves of the international film-festival season are directly relevant as the Kingdom builds towards hosting the 2034 FIFA World Cup and scales the Red Sea International Film Festival.</w:t>
      </w:r>
    </w:p>
    <w:p>
      <w:pPr>
        <w:spacing w:after="60"/>
      </w:pPr>
      <w:r>
        <w:rPr>
          <w:b/>
          <w:sz w:val="24"/>
        </w:rPr>
        <w:t xml:space="preserve">Source: </w:t>
      </w:r>
      <w:hyperlink r:id="rId20">
        <w:r>
          <w:rPr>
            <w:color w:val="0563C1"/>
            <w:u w:val="single"/>
            <w:rFonts w:ascii="Aptos" w:hAnsi="Aptos"/>
          </w:rPr>
          <w:t xml:space="preserve">ArchDaily</w:t>
        </w:r>
      </w:hyperlink>
      <w:r>
        <w:rPr>
          <w:b w:val="0"/>
        </w:rPr>
        <w:t xml:space="preserve">, </w:t>
      </w:r>
      <w:hyperlink r:id="rId21">
        <w:r>
          <w:rPr>
            <w:color w:val="0563C1"/>
            <w:u w:val="single"/>
            <w:rFonts w:ascii="Aptos" w:hAnsi="Aptos"/>
          </w:rPr>
          <w:t xml:space="preserve">Deadline</w:t>
        </w:r>
      </w:hyperlink>
    </w:p>
    <w:p>
      <w:r>
        <w:rPr>
          <w:b/>
          <w:sz w:val="24"/>
        </w:rPr>
        <w:t xml:space="preserve">Consideration: </w:t>
      </w:r>
      <w:r>
        <w:rPr>
          <w:sz w:val="24"/>
        </w:rPr>
        <w:t>Position Saudi cultural and design institutions to capture the soft-power dividend of mega-events by foregrounding Saudi architectural talent and homegrown festival programming as the 2034 build-up accelerates.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sia.nikkei.com/spotlight/iran-tensions/iran-war/yemen-s-houthis-declare-naval-blockade-on-saudi-arabia" TargetMode="External"/><Relationship Id="rId10" Type="http://schemas.openxmlformats.org/officeDocument/2006/relationships/hyperlink" Target="https://www.bloomberg.com/news/articles/2026-07-20/yemen-s-houthis-vow-to-impose-maritime-blockade-on-saudi-arabia" TargetMode="External"/><Relationship Id="rId11" Type="http://schemas.openxmlformats.org/officeDocument/2006/relationships/hyperlink" Target="https://www.cnbc.com/2026/07/20/iran-houthi-yemen-saudi-arabia.html" TargetMode="External"/><Relationship Id="rId12" Type="http://schemas.openxmlformats.org/officeDocument/2006/relationships/hyperlink" Target="https://www.aljazeera.com/news/2026/7/20/yemens-houthis-declare-naval-blockade-of-saudi-arabia-what-to-know" TargetMode="External"/><Relationship Id="rId13" Type="http://schemas.openxmlformats.org/officeDocument/2006/relationships/hyperlink" Target="https://www.spokesman.com/stories/2026/jul/19/houthis-announce-saudi-naval-blockade-threatening-/" TargetMode="External"/><Relationship Id="rId14" Type="http://schemas.openxmlformats.org/officeDocument/2006/relationships/hyperlink" Target="https://www.theartnewspaper.com/2026/07/20/armory-show-unveils-230-gallery-line-up-after-moving-fair-to-late-september" TargetMode="External"/><Relationship Id="rId15" Type="http://schemas.openxmlformats.org/officeDocument/2006/relationships/hyperlink" Target="https://hyperallergic.com/cuban-artist-luis-manuel-otero-alcantara-exiled-to-the-us/" TargetMode="External"/><Relationship Id="rId16" Type="http://schemas.openxmlformats.org/officeDocument/2006/relationships/hyperlink" Target="https://archaeology.org/news/2026/07/20/2700-year-old-irrigation-system-studied-in-armenia/" TargetMode="External"/><Relationship Id="rId17" Type="http://schemas.openxmlformats.org/officeDocument/2006/relationships/hyperlink" Target="https://hyperallergic.com/activists-sue-to-stop-frida-kahlo-works-from-leaving-mexico/" TargetMode="External"/><Relationship Id="rId18" Type="http://schemas.openxmlformats.org/officeDocument/2006/relationships/hyperlink" Target="https://blooloop.com/news/kynren-storied-lands-open" TargetMode="External"/><Relationship Id="rId19" Type="http://schemas.openxmlformats.org/officeDocument/2006/relationships/hyperlink" Target="https://hyperallergic.com/new-museums-shiny-new-building-leaks-during-flash-floods/" TargetMode="External"/><Relationship Id="rId20" Type="http://schemas.openxmlformats.org/officeDocument/2006/relationships/hyperlink" Target="https://www.archdaily.com/1181248/the-architecture-of-the-fifa-world-cup-looking-back-at-2026-and-ahead-to-2030" TargetMode="External"/><Relationship Id="rId21" Type="http://schemas.openxmlformats.org/officeDocument/2006/relationships/hyperlink" Target="https://deadline.com/2026/07/toronto-film-festival-2026-line-up-1236998190/" TargetMode="External"/><Relationship Id="rId22" Type="http://schemas.openxmlformats.org/officeDocument/2006/relationships/hyperlink" Target="https://foreignpolicy.com/2026/07/20/houthi-blockade-saudi-iran-war-red-sea-gulf-aden-hormu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