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21 August 2026</w:t>
      </w:r>
    </w:p>
    <w:p>
      <w:pPr>
        <w:pStyle w:val="NoSpacing"/>
      </w:pPr>
    </w:p>
    <w:p>
      <w:pPr>
        <w:pStyle w:val="NoSpacing"/>
      </w:pPr>
      <w:r>
        <w:rPr>
          <w:b/>
          <w:color w:val="4A86E8"/>
        </w:rPr>
        <w:t>Saudi Arabia/Regional</w:t>
      </w:r>
    </w:p>
    <w:p>
      <w:pPr>
        <w:pStyle w:val="ListBullet"/>
      </w:pPr>
      <w:r>
        <w:t>'Women at Work'—Challenging the Art/Craft Divide</w:t>
      </w:r>
    </w:p>
    <w:p>
      <w:pPr>
        <w:pStyle w:val="ListBullet"/>
      </w:pPr>
      <w:r>
        <w:t>Saudi Arabia's Beauty Market Booms With Young, Trend-savvy Consumers</w:t>
      </w:r>
    </w:p>
    <w:p>
      <w:pPr>
        <w:pStyle w:val="NoSpacing"/>
      </w:pPr>
    </w:p>
    <w:p>
      <w:pPr>
        <w:pStyle w:val="NoSpacing"/>
      </w:pPr>
      <w:r>
        <w:rPr>
          <w:b/>
          <w:color w:val="EE0000"/>
        </w:rPr>
        <w:t>Negative Articles</w:t>
      </w:r>
    </w:p>
    <w:p>
      <w:pPr>
        <w:pStyle w:val="ListBullet"/>
      </w:pPr>
      <w:r>
        <w:t>US vows to 'collapse' Iran with new sanctions as energy prices spike</w:t>
      </w:r>
    </w:p>
    <w:p>
      <w:pPr>
        <w:pStyle w:val="NoSpacing"/>
      </w:pPr>
    </w:p>
    <w:p>
      <w:pPr>
        <w:pStyle w:val="NoSpacing"/>
      </w:pPr>
      <w:r>
        <w:rPr>
          <w:b/>
          <w:color w:val="4A86E8"/>
        </w:rPr>
        <w:t>Global</w:t>
      </w:r>
    </w:p>
    <w:p>
      <w:pPr>
        <w:pStyle w:val="ListBullet"/>
      </w:pPr>
      <w:r>
        <w:t>Gwangju Biennale accused of censoring pavilion title</w:t>
      </w:r>
    </w:p>
    <w:p>
      <w:pPr>
        <w:pStyle w:val="ListBullet"/>
      </w:pPr>
      <w:r>
        <w:t>New documentary focuses on traditional crafts around the world and the pressures facing artisans</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A group exhibition at Beirut's Dalloul Art Foundation, "Women at Work", sets works by leading Saudi artists Manal Al Dowayan and Maha Malluh alongside other Arab women artists to challenge the hierarchy that separates "fine art" from "craft", spotlighting textile, ceramic and metalwork practices. The framing matters for the Kingdom's own cultural narrative: two of Saudi Arabia's most internationally recognised women artists are being read within a serious regional art-historical argument rather than a novelty frame, reinforcing the depth of Saudi participation in contemporary Gulf and Arab art. (</w:t>
      </w:r>
      <w:hyperlink r:id="rId9">
        <w:r>
          <w:rPr>
            <w:color w:val="0000FF"/>
            <w:u w:val="single"/>
            <w:rFonts w:ascii="Times New Roman" w:hAnsi="Times New Roman"/>
          </w:rPr>
          <w:t xml:space="preserve">Middle East Report</w:t>
        </w:r>
      </w:hyperlink>
      <w:r>
        <w:rPr>
          <w:b w:val="0"/>
        </w:rPr>
        <w:t>)</w:t>
      </w:r>
    </w:p>
    <w:p>
      <w:pPr>
        <w:pStyle w:val="NoSpacing"/>
      </w:pPr>
      <w:r>
        <w:rPr>
          <w:b/>
          <w:color w:val="000000"/>
        </w:rPr>
        <w:t>Fashion:</w:t>
      </w:r>
    </w:p>
    <w:p>
      <w:pPr>
        <w:pStyle w:val="ListBullet"/>
      </w:pPr>
      <w:r>
        <w:rPr>
          <w:b w:val="0"/>
        </w:rPr>
        <w:t>Trade title WWD reports that Saudi Arabia's beauty market is expanding rapidly, driven by a young, digitally fluent and trend-aware consumer base increasingly shaping what brands offer. Beyond the commercial story, the trend feeds the Fashion and wider creative-sector agenda the Ministry supports, as home-grown beauty and style brands become a visible, everyday expression of contemporary Saudi cultural identity to international audiences. (</w:t>
      </w:r>
      <w:hyperlink r:id="rId10">
        <w:r>
          <w:rPr>
            <w:color w:val="0000FF"/>
            <w:u w:val="single"/>
            <w:rFonts w:ascii="Times New Roman" w:hAnsi="Times New Roman"/>
          </w:rPr>
          <w:t xml:space="preserve">WWD</w:t>
        </w:r>
      </w:hyperlink>
      <w:r>
        <w:rPr>
          <w:b w:val="0"/>
        </w:rPr>
        <w:t>)</w:t>
      </w:r>
    </w:p>
    <w:p>
      <w:pPr>
        <w:pStyle w:val="NoSpacing"/>
      </w:pPr>
    </w:p>
    <w:p>
      <w:pPr>
        <w:pStyle w:val="NoSpacing"/>
      </w:pPr>
      <w:r>
        <w:rPr>
          <w:b/>
          <w:color w:val="EE0000"/>
        </w:rPr>
        <w:t>Negative Articles</w:t>
      </w:r>
    </w:p>
    <w:p>
      <w:pPr>
        <w:pStyle w:val="ListBullet"/>
      </w:pPr>
      <w:r>
        <w:rPr>
          <w:b w:val="0"/>
        </w:rPr>
        <w:t>The US Treasury Secretary pledged what he called the toughest sanctions yet on Iran amid a spike in energy prices, with Brent crude rising around two per cent and shipping costs climbing sharply as Red Sea disruption persists; the piece notes that Saudi Arabia relies on the waterway to export oil and has been forced to pipe crude to the Mediterranean via Egypt. The framing situates the Kingdom largely as an exposed party rather than an actor, but the wider security-and-energy backdrop remains a reputational risk that can crowd out cultural coverage; the outlet's Qatar-linked funding warrants reading its regional framing with that context in mind. (</w:t>
      </w:r>
      <w:hyperlink r:id="rId11">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Ten Taiwanese artists and curators, backed by Taiwan's culture ministry, have accused the Gwangju Biennale of political censorship after organisers renamed their "Taiwan Pavilion" using an institutional acronym in promotional material; the biennale says it followed standard practice for institutional participants. The dispute is a reminder of how naming, framing and governance decisions at major biennales carry diplomatic weight — a relevant watch-point as Saudi Arabia scales its own Diriyah Contemporary Art and Islamic Arts biennales and positions them as internationally credible platforms. (</w:t>
      </w:r>
      <w:hyperlink r:id="rId12">
        <w:r>
          <w:rPr>
            <w:color w:val="0000FF"/>
            <w:u w:val="single"/>
            <w:rFonts w:ascii="Times New Roman" w:hAnsi="Times New Roman"/>
          </w:rPr>
          <w:t xml:space="preserve">ArtReview</w:t>
        </w:r>
      </w:hyperlink>
      <w:r>
        <w:rPr>
          <w:b w:val="0"/>
        </w:rPr>
        <w:t>)</w:t>
      </w:r>
    </w:p>
    <w:p>
      <w:pPr>
        <w:pStyle w:val="NoSpacing"/>
      </w:pPr>
      <w:r>
        <w:rPr>
          <w:b/>
          <w:color w:val="000000"/>
        </w:rPr>
        <w:t>Heritage:</w:t>
      </w:r>
    </w:p>
    <w:p>
      <w:pPr>
        <w:pStyle w:val="ListBullet"/>
      </w:pPr>
      <w:r>
        <w:rPr>
          <w:b w:val="0"/>
        </w:rPr>
        <w:t>A new documentary, "Handmade Future", follows nine artisans across six countries — from marble-inlay workers in India to rug-making cooperatives in Morocco — to examine how traditional crafts survive economically when makers sit at the bottom of the supply chain. The film's argument, that craft endures only where it sustains a viable livelihood, echoes the rationale behind Saudi Arabia's own investment in traditional-arts training and its Year of Handicrafts, offering an external frame of reference for how the Kingdom presents heritage-craft stewardship. (</w:t>
      </w:r>
      <w:hyperlink r:id="rId13">
        <w:r>
          <w:rPr>
            <w:color w:val="0000FF"/>
            <w:u w:val="single"/>
            <w:rFonts w:ascii="Times New Roman" w:hAnsi="Times New Roman"/>
          </w:rPr>
          <w:t xml:space="preserve">The Art Newspaper</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and energy pressure overshadowing the cultural narrative</w:t>
      </w:r>
    </w:p>
    <w:p>
      <w:pPr>
        <w:pStyle w:val="NoSpacing"/>
      </w:pPr>
      <w:r>
        <w:t>The dominant Saudi-related story in the coverage window is not cultural but geopolitical: renewed US pressure on Iran, a spike in energy prices, and continued Red Sea shipping disruption that has forced Saudi crude to be rerouted overland to the Mediterranean via Egypt. Coverage tends to cast the Kingdom as an exposed bystander to a regional conflict, but the sheer volume and reputational weight of security-and-energy reporting can crowd out the cultural achievements the Ministry is working to surface internationally.</w:t>
      </w:r>
    </w:p>
    <w:p>
      <w:pPr>
        <w:pStyle w:val="NoSpacing"/>
      </w:pPr>
      <w:r>
        <w:rPr>
          <w:b/>
        </w:rPr>
        <w:t xml:space="preserve">Source: </w:t>
      </w:r>
      <w:hyperlink r:id="rId11">
        <w:r>
          <w:rPr>
            <w:color w:val="0000FF"/>
            <w:u w:val="single"/>
            <w:rFonts w:ascii="Times New Roman" w:hAnsi="Times New Roman"/>
          </w:rPr>
          <w:t xml:space="preserve">Middle East Eye</w:t>
        </w:r>
      </w:hyperlink>
    </w:p>
    <w:p>
      <w:pPr>
        <w:pStyle w:val="NoSpacing"/>
      </w:pPr>
      <w:r>
        <w:rPr>
          <w:b/>
        </w:rPr>
        <w:t xml:space="preserve">Consideration: </w:t>
      </w:r>
      <w:r>
        <w:t>Keep the Ministry's cultural story deliberately distinct from the security-and-energy narrative rather than reactive to it, foregrounding credible delivery, public access, Saudi talent and heritage stewardship. Consistent, high-quality cultural output is the most effective counterweight to a news cycle dominated by regional risk, and should not be paused or reframed in response to it.</w:t>
      </w:r>
    </w:p>
    <w:p>
      <w:pPr>
        <w:pStyle w:val="NoSpacing"/>
      </w:pPr>
    </w:p>
    <w:p>
      <w:pPr>
        <w:pStyle w:val="NoSpacing"/>
      </w:pPr>
      <w:r>
        <w:rPr>
          <w:b/>
          <w:color w:val="A66500"/>
        </w:rPr>
        <w:t>Opportunities</w:t>
      </w:r>
    </w:p>
    <w:p>
      <w:pPr>
        <w:pStyle w:val="NoSpacing"/>
      </w:pPr>
      <w:r>
        <w:rPr>
          <w:b/>
          <w:color w:val="000000"/>
        </w:rPr>
        <w:t>1. Saudi creative talent and consumer culture gaining international visibility</w:t>
      </w:r>
    </w:p>
    <w:p>
      <w:pPr>
        <w:pStyle w:val="NoSpacing"/>
      </w:pPr>
      <w:r>
        <w:t>Two separate threads this window point the same way: leading Saudi artists Manal Al Dowayan and Maha Malluh feature in a serious regional exhibition reframing the art-and-craft debate, while trade press reports a fast-growing, youth-driven Saudi beauty and style market. Together they show Saudi creativity registering internationally both as critically respected fine art and as everyday consumer culture — two ends of the same cultural-influence spectrum.</w:t>
      </w:r>
    </w:p>
    <w:p>
      <w:pPr>
        <w:pStyle w:val="NoSpacing"/>
      </w:pPr>
      <w:r>
        <w:rPr>
          <w:b/>
        </w:rPr>
        <w:t xml:space="preserve">Source: </w:t>
      </w:r>
      <w:hyperlink r:id="rId9">
        <w:r>
          <w:rPr>
            <w:color w:val="0000FF"/>
            <w:u w:val="single"/>
            <w:rFonts w:ascii="Times New Roman" w:hAnsi="Times New Roman"/>
          </w:rPr>
          <w:t xml:space="preserve">Middle East Report</w:t>
        </w:r>
      </w:hyperlink>
      <w:r>
        <w:rPr>
          <w:b w:val="0"/>
        </w:rPr>
        <w:t xml:space="preserve">, </w:t>
      </w:r>
      <w:hyperlink r:id="rId10">
        <w:r>
          <w:rPr>
            <w:color w:val="0000FF"/>
            <w:u w:val="single"/>
            <w:rFonts w:ascii="Times New Roman" w:hAnsi="Times New Roman"/>
          </w:rPr>
          <w:t xml:space="preserve">WWD</w:t>
        </w:r>
      </w:hyperlink>
    </w:p>
    <w:p>
      <w:pPr>
        <w:pStyle w:val="NoSpacing"/>
      </w:pPr>
      <w:r>
        <w:rPr>
          <w:b/>
        </w:rPr>
        <w:t xml:space="preserve">Consideration: </w:t>
      </w:r>
      <w:r>
        <w:t>Connect these individually reported stories into a single narrative about Saudi creative talent maturing across registers, rather than treating each as an isolated announcement. Where the Ministry is not directly involved — as with an independent Beirut exhibition or a commercial beauty market — attribute accurately and avoid implying Ministry ownership, while still drawing the through-line about the Kingdom's widening cultural footprint.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rip.org/2026/08/women-at-work-challenging-the-art-craft-divide/" TargetMode="External"/><Relationship Id="rId10" Type="http://schemas.openxmlformats.org/officeDocument/2006/relationships/hyperlink" Target="https://wwd.com/beauty-industry-news/beauty-features/saudi-arabia-beauty-market-booms-young-savvy-consumers-1239081751/" TargetMode="External"/><Relationship Id="rId11" Type="http://schemas.openxmlformats.org/officeDocument/2006/relationships/hyperlink" Target="https://www.middleeasteye.net/news/us-vows-collapse-iran-new-sanctions-energy-prices-spike" TargetMode="External"/><Relationship Id="rId12" Type="http://schemas.openxmlformats.org/officeDocument/2006/relationships/hyperlink" Target="https://artreview.com/gwangju-biennale-accused-of-censoring-pavilion-title/" TargetMode="External"/><Relationship Id="rId13" Type="http://schemas.openxmlformats.org/officeDocument/2006/relationships/hyperlink" Target="https://www.theartnewspaper.com/2026/08/20/handmade-future-documentary-craft-traditions-artisans-underpres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