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29 August 2026</w:t>
      </w:r>
    </w:p>
    <w:p>
      <w:pPr>
        <w:pStyle w:val="NoSpacing"/>
      </w:pPr>
    </w:p>
    <w:p>
      <w:pPr>
        <w:pStyle w:val="NoSpacing"/>
      </w:pPr>
      <w:r>
        <w:rPr>
          <w:b/>
          <w:color w:val="4A86E8"/>
        </w:rPr>
        <w:t>Saudi Arabia/Regional</w:t>
      </w:r>
    </w:p>
    <w:p>
      <w:pPr>
        <w:pStyle w:val="ListBullet"/>
      </w:pPr>
      <w:r>
        <w:t>Riyadh Introduces Venice to Contemporary Saudi Art at the 2026 Biennale</w:t>
      </w:r>
    </w:p>
    <w:p>
      <w:pPr>
        <w:pStyle w:val="NoSpacing"/>
      </w:pPr>
    </w:p>
    <w:p>
      <w:pPr>
        <w:pStyle w:val="NoSpacing"/>
      </w:pPr>
      <w:r>
        <w:rPr>
          <w:b/>
          <w:color w:val="EE0000"/>
        </w:rPr>
        <w:t>Negative Articles</w:t>
      </w:r>
    </w:p>
    <w:p>
      <w:pPr>
        <w:pStyle w:val="ListBullet"/>
      </w:pPr>
      <w:r>
        <w:t>New Murabba Replaces Chief Executive as Saudi Reassesses Giga-Project Spending</w:t>
      </w:r>
    </w:p>
    <w:p>
      <w:pPr>
        <w:pStyle w:val="NoSpacing"/>
      </w:pPr>
    </w:p>
    <w:p>
      <w:pPr>
        <w:pStyle w:val="NoSpacing"/>
      </w:pPr>
      <w:r>
        <w:rPr>
          <w:b/>
          <w:color w:val="4A86E8"/>
        </w:rPr>
        <w:t>Global</w:t>
      </w:r>
    </w:p>
    <w:p>
      <w:pPr>
        <w:pStyle w:val="ListBullet"/>
      </w:pPr>
      <w:r>
        <w:t>Art-o-rama Fair's Winning Formula: Low Fees, Young Blood, Bold Ideas</w:t>
      </w:r>
    </w:p>
    <w:p>
      <w:pPr>
        <w:pStyle w:val="ListBullet"/>
      </w:pPr>
      <w:r>
        <w:t>UK Places Temporary Export Bar on £71.7m Rembrandt Portrait</w:t>
      </w:r>
    </w:p>
    <w:p>
      <w:pPr>
        <w:pStyle w:val="ListBullet"/>
      </w:pPr>
      <w:r>
        <w:t>Sydney's Powerhouse Parramatta CEO Steps Aside Weeks Before Opening</w:t>
      </w:r>
    </w:p>
    <w:p>
      <w:pPr>
        <w:pStyle w:val="ListBullet"/>
      </w:pPr>
      <w:r>
        <w:t>Diamond Necklace Once Worn by Egypt's Queen Nazli Stolen From Vienna Museum</w:t>
      </w:r>
    </w:p>
    <w:p>
      <w:pPr>
        <w:pStyle w:val="ListBullet"/>
      </w:pPr>
      <w:r>
        <w:t>Helsinki Design Week Opens With 250 Events Under 'The Oncoming Other'</w:t>
      </w:r>
    </w:p>
    <w:p>
      <w:pPr>
        <w:pStyle w:val="ListBullet"/>
      </w:pPr>
      <w:r>
        <w:t>Olivia Rodrigo Releases 'Serena Joy' Ahead of All-Women Benefit Festival</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The Kingdom's National Pavilion at the 2026 Venice Art Biennale, commissioned by the Ministry of Culture's Visual Arts Commission, is drawing renewed attention for Dana Awartani's floor installation of roughly 29,000 hand-made clay bricks — created with 32 artisans in a workshop near Riyadh — shown alongside a cultural shop of Saudi crafts, coffee and dates, in Arabic-language coverage by the pan-Arab outlet Middle East Online. By presenting traditional craft and heritage as contemporary art on a major global stage, the pavilion advances the Kingdom's cultural soft-power narrative and threads Saudi creativity into an international conversation about memory and preservation. (</w:t>
      </w:r>
      <w:hyperlink r:id="rId9">
        <w:r>
          <w:rPr>
            <w:color w:val="0000FF"/>
            <w:u w:val="single"/>
            <w:rFonts w:ascii="Times New Roman" w:hAnsi="Times New Roman"/>
          </w:rPr>
          <w:t xml:space="preserve">Middle East Online</w:t>
        </w:r>
      </w:hyperlink>
      <w:r>
        <w:rPr>
          <w:b w:val="0"/>
        </w:rPr>
        <w:t>)</w:t>
      </w:r>
    </w:p>
    <w:p>
      <w:pPr>
        <w:pStyle w:val="NoSpacing"/>
      </w:pPr>
    </w:p>
    <w:p>
      <w:pPr>
        <w:pStyle w:val="NoSpacing"/>
      </w:pPr>
      <w:r>
        <w:rPr>
          <w:b/>
          <w:color w:val="EE0000"/>
        </w:rPr>
        <w:t>Negative Articles</w:t>
      </w:r>
    </w:p>
    <w:p>
      <w:pPr>
        <w:pStyle w:val="ListBullet"/>
      </w:pPr>
      <w:r>
        <w:rPr>
          <w:b w:val="0"/>
        </w:rPr>
        <w:t>Saudi giga-project New Murabba has replaced its chief executive, with Public Investment Fund executive Sabah Barakat taking over as acting CEO from Michael Dyke, as the Kingdom continues to trim spending across its Vision 2030 portfolio and has pushed the $50bn downtown Riyadh scheme's completion out to 2040. The reshuffle keeps investor and media attention on giga-project delivery timelines and fiscal discipline — a reputational thread the Ministry's cultural narrative is best kept distinct from. (</w:t>
      </w:r>
      <w:hyperlink r:id="rId10">
        <w:r>
          <w:rPr>
            <w:color w:val="0000FF"/>
            <w:u w:val="single"/>
            <w:rFonts w:ascii="Times New Roman" w:hAnsi="Times New Roman"/>
          </w:rPr>
          <w:t xml:space="preserve">AGBI</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Marseille's Art-o-rama fair, marking its 20th edition, is being credited with a durable formula built on low booth fees and a focus on emerging galleries, fielding 38 exhibitors this year — nearly 70% from outside France, including newcomers from Lima and Tokyo. The model shows how a mid-size fair can build genuine international relevance without blue-chip budgets, a useful reference point for the Gulf's own fast-expanding fair calendar. (</w:t>
      </w:r>
      <w:hyperlink r:id="rId11">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The UK government has placed a temporary export bar on Rembrandt's 1657 Portrait of Catrina Hooghsaet, valued at £71.7m, to give a domestic institution the chance to keep the painting in the country. The case underlines how actively governments now intervene to retain heritage assets within national borders, a dynamic relevant to any state shaping its own acquisition and collection-building strategy. (</w:t>
      </w:r>
      <w:hyperlink r:id="rId12">
        <w:r>
          <w:rPr>
            <w:color w:val="0000FF"/>
            <w:u w:val="single"/>
            <w:rFonts w:ascii="Times New Roman" w:hAnsi="Times New Roman"/>
          </w:rPr>
          <w:t xml:space="preserve">ARTnews</w:t>
        </w:r>
      </w:hyperlink>
      <w:r>
        <w:rPr>
          <w:b w:val="0"/>
        </w:rPr>
        <w:t>)</w:t>
      </w:r>
    </w:p>
    <w:p>
      <w:pPr>
        <w:pStyle w:val="NoSpacing"/>
      </w:pPr>
      <w:r>
        <w:rPr>
          <w:b/>
          <w:color w:val="000000"/>
        </w:rPr>
        <w:t>Museums:</w:t>
      </w:r>
    </w:p>
    <w:p>
      <w:pPr>
        <w:pStyle w:val="ListBullet"/>
      </w:pPr>
      <w:r>
        <w:rPr>
          <w:b w:val="0"/>
        </w:rPr>
        <w:t>Lisa Havilah, chief executive of Sydney's much-anticipated Powerhouse Parramatta, has stepped aside just weeks before the museum's opening while the New South Wales government reviews governance and procurement matters. The episode is a reminder of the delivery and governance risks that accompany major new museum launches — a salient point as Saudi Arabia brings its own wave of flagship museums toward opening. (</w:t>
      </w:r>
      <w:hyperlink r:id="rId13">
        <w:r>
          <w:rPr>
            <w:color w:val="0000FF"/>
            <w:u w:val="single"/>
            <w:rFonts w:ascii="Times New Roman" w:hAnsi="Times New Roman"/>
          </w:rPr>
          <w:t xml:space="preserve">ARTnews</w:t>
        </w:r>
      </w:hyperlink>
      <w:r>
        <w:rPr>
          <w:b w:val="0"/>
        </w:rPr>
        <w:t>)</w:t>
      </w:r>
    </w:p>
    <w:p>
      <w:pPr>
        <w:pStyle w:val="ListBullet"/>
      </w:pPr>
      <w:r>
        <w:rPr>
          <w:b w:val="0"/>
        </w:rPr>
        <w:t>Two thieves bought tickets and, without masks, smashed a display case at Vienna's Museum of Applied Arts before fleeing with a 200-carat, 673-stone diamond necklace once worn by Egypt's Queen Nazli, taken from a Van Cleef &amp; Arpels exhibition. The brazen daytime theft has renewed scrutiny of collection security at major museums, an operational consideration for institutions across the region as they stage higher-value international loans. (</w:t>
      </w:r>
      <w:hyperlink r:id="rId14">
        <w:r>
          <w:rPr>
            <w:color w:val="0000FF"/>
            <w:u w:val="single"/>
            <w:rFonts w:ascii="Times New Roman" w:hAnsi="Times New Roman"/>
          </w:rPr>
          <w:t xml:space="preserve">Bloomberg</w:t>
        </w:r>
      </w:hyperlink>
      <w:r>
        <w:rPr>
          <w:b w:val="0"/>
        </w:rPr>
        <w:t>)</w:t>
      </w:r>
    </w:p>
    <w:p>
      <w:pPr>
        <w:pStyle w:val="NoSpacing"/>
      </w:pPr>
      <w:r>
        <w:rPr>
          <w:b/>
          <w:color w:val="000000"/>
        </w:rPr>
        <w:t>Architecture and Design:</w:t>
      </w:r>
    </w:p>
    <w:p>
      <w:pPr>
        <w:pStyle w:val="ListBullet"/>
      </w:pPr>
      <w:r>
        <w:rPr>
          <w:b w:val="0"/>
        </w:rPr>
        <w:t>Helsinki Design Week, now in its 21st year, has opened with more than 250 events under the theme 'The Oncoming Other', staged across a network of meeting points in the city centre as part of a two-year collaboration with the City of Helsinki. Its use of design programming to revitalise the urban core offers a reference point for Saudi Arabia's own design-led place-making in Riyadh and beyond. (</w:t>
      </w:r>
      <w:hyperlink r:id="rId15">
        <w:r>
          <w:rPr>
            <w:color w:val="0000FF"/>
            <w:u w:val="single"/>
            <w:rFonts w:ascii="Times New Roman" w:hAnsi="Times New Roman"/>
          </w:rPr>
          <w:t xml:space="preserve">Dezeen</w:t>
        </w:r>
      </w:hyperlink>
      <w:r>
        <w:rPr>
          <w:b w:val="0"/>
        </w:rPr>
        <w:t>)</w:t>
      </w:r>
    </w:p>
    <w:p>
      <w:pPr>
        <w:pStyle w:val="NoSpacing"/>
      </w:pPr>
      <w:r>
        <w:rPr>
          <w:b/>
          <w:color w:val="000000"/>
        </w:rPr>
        <w:t>Music:</w:t>
      </w:r>
    </w:p>
    <w:p>
      <w:pPr>
        <w:pStyle w:val="ListBullet"/>
      </w:pPr>
      <w:r>
        <w:rPr>
          <w:b w:val="0"/>
        </w:rPr>
        <w:t>Olivia Rodrigo has released a new single, 'Serena Joy', ahead of an all-women festival she is staging in California to raise funds for organisations supporting women and girls. Tying a marquee release to a cause-driven live event reflects how major artists increasingly build social purpose into commercial moments — a trend relevant to the Kingdom's fast-growing live-music and festival sector. (</w:t>
      </w:r>
      <w:hyperlink r:id="rId16">
        <w:r>
          <w:rPr>
            <w:color w:val="0000FF"/>
            <w:u w:val="single"/>
            <w:rFonts w:ascii="Times New Roman" w:hAnsi="Times New Roman"/>
          </w:rPr>
          <w:t xml:space="preserve">Billboard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Giga-project recalibration keeps Vision 2030 delivery under scrutiny</w:t>
      </w:r>
    </w:p>
    <w:p>
      <w:pPr>
        <w:pStyle w:val="NoSpacing"/>
      </w:pPr>
      <w:r>
        <w:t>New Murabba's leadership change and the Public Investment Fund's continued spending discipline reinforce a now-familiar narrative of rescoped and delayed mega-projects, which international business media track closely. While principally an economic and delivery story, it shapes the reputational backdrop against which the Kingdom's cultural investments are read.</w:t>
      </w:r>
    </w:p>
    <w:p>
      <w:pPr>
        <w:pStyle w:val="NoSpacing"/>
      </w:pPr>
      <w:r>
        <w:rPr>
          <w:b/>
        </w:rPr>
        <w:t xml:space="preserve">Source: </w:t>
      </w:r>
      <w:hyperlink r:id="rId10">
        <w:r>
          <w:rPr>
            <w:color w:val="0000FF"/>
            <w:u w:val="single"/>
            <w:rFonts w:ascii="Times New Roman" w:hAnsi="Times New Roman"/>
          </w:rPr>
          <w:t xml:space="preserve">AGBI</w:t>
        </w:r>
      </w:hyperlink>
    </w:p>
    <w:p>
      <w:pPr>
        <w:pStyle w:val="NoSpacing"/>
      </w:pPr>
      <w:r>
        <w:rPr>
          <w:b/>
        </w:rPr>
        <w:t xml:space="preserve">Consideration: </w:t>
      </w:r>
      <w:r>
        <w:t>The Ministry can insulate its cultural story from any "stalled ambition" framing by foregrounding tangible, operational delivery — completed programming, sustained public access, Saudi talent and institutional professionalism — rather than headline announcements alone.</w:t>
      </w:r>
    </w:p>
    <w:p>
      <w:pPr>
        <w:pStyle w:val="NoSpacing"/>
      </w:pPr>
    </w:p>
    <w:p>
      <w:pPr>
        <w:pStyle w:val="NoSpacing"/>
      </w:pPr>
      <w:r>
        <w:rPr>
          <w:b/>
          <w:color w:val="A66500"/>
        </w:rPr>
        <w:t>Opportunities</w:t>
      </w:r>
    </w:p>
    <w:p>
      <w:pPr>
        <w:pStyle w:val="NoSpacing"/>
      </w:pPr>
      <w:r>
        <w:rPr>
          <w:b/>
          <w:color w:val="000000"/>
        </w:rPr>
        <w:t>1. Saudi heritage translated into globally legible contemporary art</w:t>
      </w:r>
    </w:p>
    <w:p>
      <w:pPr>
        <w:pStyle w:val="NoSpacing"/>
      </w:pPr>
      <w:r>
        <w:t>The Kingdom's Venice Biennale pavilion converts traditional craft and heritage into contemporary art at a moment when the international cultural conversation is squarely focused on heritage stewardship and the security of collections — the same week saw the UK move to retain a Rembrandt and a high-value theft from a Vienna museum. That timing lets Saudi Arabia present itself as a custodian of living heritage rather than only a buyer of cultural assets.</w:t>
      </w:r>
    </w:p>
    <w:p>
      <w:pPr>
        <w:pStyle w:val="NoSpacing"/>
      </w:pPr>
      <w:r>
        <w:rPr>
          <w:b/>
        </w:rPr>
        <w:t xml:space="preserve">Source: </w:t>
      </w:r>
      <w:hyperlink r:id="rId9">
        <w:r>
          <w:rPr>
            <w:color w:val="0000FF"/>
            <w:u w:val="single"/>
            <w:rFonts w:ascii="Times New Roman" w:hAnsi="Times New Roman"/>
          </w:rPr>
          <w:t xml:space="preserve">Middle East Online</w:t>
        </w:r>
      </w:hyperlink>
      <w:r>
        <w:rPr>
          <w:b w:val="0"/>
        </w:rPr>
        <w:t xml:space="preserve">, </w:t>
      </w:r>
      <w:hyperlink r:id="rId12">
        <w:r>
          <w:rPr>
            <w:color w:val="0000FF"/>
            <w:u w:val="single"/>
            <w:rFonts w:ascii="Times New Roman" w:hAnsi="Times New Roman"/>
          </w:rPr>
          <w:t xml:space="preserve">ARTnews</w:t>
        </w:r>
      </w:hyperlink>
      <w:r>
        <w:rPr>
          <w:b w:val="0"/>
        </w:rPr>
        <w:t xml:space="preserve">, </w:t>
      </w:r>
      <w:hyperlink r:id="rId14">
        <w:r>
          <w:rPr>
            <w:color w:val="0000FF"/>
            <w:u w:val="single"/>
            <w:rFonts w:ascii="Times New Roman" w:hAnsi="Times New Roman"/>
          </w:rPr>
          <w:t xml:space="preserve">Bloomberg</w:t>
        </w:r>
      </w:hyperlink>
    </w:p>
    <w:p>
      <w:pPr>
        <w:pStyle w:val="NoSpacing"/>
      </w:pPr>
      <w:r>
        <w:rPr>
          <w:b/>
        </w:rPr>
        <w:t xml:space="preserve">Consideration: </w:t>
      </w:r>
      <w:r>
        <w:t>The Ministry can connect the Venice showing to its broader heritage-and-craft narrative and to international museum partnerships, reinforcing a consistent story of stewardship, provenance and living heritage that travels well with global audiences.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ddle-east-online.com/%D8%A7%D9%84%D8%B1%D9%8A%D8%A7%D8%B6-%D8%AA%D9%8F%D8%B9%D8%B1%D9%91%D9%81-%D8%A7%D9%84%D8%A8%D9%86%D8%AF%D9%82%D9%8A%D8%A9-%D8%B9%D9%84%D9%89-%D8%A7%D9%84%D9%81%D9%86-%D8%A7%D9%84%D8%B3%D8%B9%D9%88%D8%AF%D9%8A-%D8%A7%D9%84%D9%85%D8%B9%D8%A7%D8%B5%D8%B1" TargetMode="External"/><Relationship Id="rId10" Type="http://schemas.openxmlformats.org/officeDocument/2006/relationships/hyperlink" Target="https://www.agbi.com/construction/2026/08/saudi-giga-project-new-murabba-replaces-chief-executive/" TargetMode="External"/><Relationship Id="rId11" Type="http://schemas.openxmlformats.org/officeDocument/2006/relationships/hyperlink" Target="https://www.theartnewspaper.com/2026/08/28/art-fair-art-o-ramas-winning-formula-low-fees-young-blood-bold-ideas" TargetMode="External"/><Relationship Id="rId12" Type="http://schemas.openxmlformats.org/officeDocument/2006/relationships/hyperlink" Target="https://www.artnews.com/art-news/news/uk-government-temporary-export-ban-rembrandt-painting-1234796213/" TargetMode="External"/><Relationship Id="rId13" Type="http://schemas.openxmlformats.org/officeDocument/2006/relationships/hyperlink" Target="https://www.artnews.com/art-news/news/morning-links-august-28-2026-1234796193/" TargetMode="External"/><Relationship Id="rId14" Type="http://schemas.openxmlformats.org/officeDocument/2006/relationships/hyperlink" Target="https://www.bloomberg.com/news/articles/2026-08-28/thieves-snatch-4-million-diamond-necklace-from-vienna-museum" TargetMode="External"/><Relationship Id="rId15" Type="http://schemas.openxmlformats.org/officeDocument/2006/relationships/hyperlink" Target="https://www.dezeen.com/eventsguide/2026/08/helsinki-design-week-2026/" TargetMode="External"/><Relationship Id="rId16" Type="http://schemas.openxmlformats.org/officeDocument/2006/relationships/hyperlink" Target="https://www.billboard.com/music/music-news/olivia-rodrigo-alex-warren-jennie-new-music-friday-guide-1236327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