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28 July 2026</w:t>
      </w:r>
    </w:p>
    <w:p>
      <w:pPr>
        <w:pStyle w:val="NoSpacing"/>
      </w:pPr>
    </w:p>
    <w:p>
      <w:pPr>
        <w:pStyle w:val="NoSpacing"/>
      </w:pPr>
      <w:r>
        <w:rPr>
          <w:b/>
          <w:color w:val="4A86E8"/>
        </w:rPr>
        <w:t>Saudi Arabia/Regional</w:t>
      </w:r>
    </w:p>
    <w:p>
      <w:pPr>
        <w:pStyle w:val="ListBullet"/>
      </w:pPr>
      <w:r>
        <w:t>How the Houthis Cornered Saudi Arabia Into a New Battle</w:t>
      </w:r>
    </w:p>
    <w:p>
      <w:pPr>
        <w:pStyle w:val="ListBullet"/>
      </w:pPr>
      <w:r>
        <w:t>Asia 'scraping the bottom of the barrel' as Red Sea oil blockade worsens energy crisis</w:t>
      </w:r>
    </w:p>
    <w:p>
      <w:pPr>
        <w:pStyle w:val="ListBullet"/>
      </w:pPr>
      <w:r>
        <w:t>Iran hosts Hormuz calls with Saudi Arabia, Oman as Trump hails 'good talks'</w:t>
      </w:r>
    </w:p>
    <w:p>
      <w:pPr>
        <w:pStyle w:val="NoSpacing"/>
      </w:pPr>
    </w:p>
    <w:p>
      <w:pPr>
        <w:pStyle w:val="NoSpacing"/>
      </w:pPr>
      <w:r>
        <w:rPr>
          <w:b/>
          <w:color w:val="EE0000"/>
        </w:rPr>
        <w:t>Negative Articles</w:t>
      </w:r>
    </w:p>
    <w:p>
      <w:pPr>
        <w:pStyle w:val="ListBullet"/>
      </w:pPr>
      <w:r>
        <w:t>Trump's Saudi Nuclear Deal Is Diplomatic Malpractice</w:t>
      </w:r>
    </w:p>
    <w:p>
      <w:pPr>
        <w:pStyle w:val="NoSpacing"/>
      </w:pPr>
    </w:p>
    <w:p>
      <w:pPr>
        <w:pStyle w:val="NoSpacing"/>
      </w:pPr>
      <w:r>
        <w:rPr>
          <w:b/>
          <w:color w:val="4A86E8"/>
        </w:rPr>
        <w:t>Global</w:t>
      </w:r>
    </w:p>
    <w:p>
      <w:pPr>
        <w:pStyle w:val="ListBullet"/>
      </w:pPr>
      <w:r>
        <w:t>D-Day Beaches, Okefenokee Swamp, Mount Olympus Join UNESCO World Heritage List</w:t>
      </w:r>
    </w:p>
    <w:p>
      <w:pPr>
        <w:pStyle w:val="ListBullet"/>
      </w:pPr>
      <w:r>
        <w:t>First Roman camp at Vindonissa revealed through new excavation of walls, barracks, and artifacts</w:t>
      </w:r>
    </w:p>
    <w:p>
      <w:pPr>
        <w:pStyle w:val="ListBullet"/>
      </w:pPr>
      <w:r>
        <w:t>Roman Battle Camp Found in Spain</w:t>
      </w:r>
    </w:p>
    <w:p>
      <w:pPr>
        <w:pStyle w:val="ListBullet"/>
      </w:pPr>
      <w:r>
        <w:t>Betye Saar, Pioneering Assemblage Artist Who Powerfully Tackled Racism, Dies at 99</w:t>
      </w:r>
    </w:p>
    <w:p>
      <w:pPr>
        <w:pStyle w:val="ListBullet"/>
      </w:pPr>
      <w:r>
        <w:t>RSHP unveils tripartite Shanghai skyscraper informed by historical laneways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Iran-backed Houthi forces have seized on a vulnerable moment for the Kingdom, which is reluctant to be drawn into another war, to press for political concessions in Yemen, ending a fragile four-year lull after strikes on Saudi Aramco facilities and a threatened Red Sea blockade. For the Ministry, a widening conflict on the Kingdom's south-western flank raises the backdrop risk for the international cultural calendar and inbound cultural tourism, making a clear separation between the cultural narrative and the security story more important, not less. (</w:t>
      </w:r>
      <w:hyperlink r:id="rId9">
        <w:r>
          <w:rPr>
            <w:color w:val="0000FF"/>
            <w:u w:val="single"/>
            <w:rFonts w:ascii="Times New Roman" w:hAnsi="Times New Roman"/>
          </w:rPr>
          <w:t xml:space="preserve">The New York Times</w:t>
        </w:r>
      </w:hyperlink>
      <w:r>
        <w:rPr>
          <w:b w:val="0"/>
        </w:rPr>
        <w:t>)</w:t>
      </w:r>
    </w:p>
    <w:p>
      <w:pPr>
        <w:pStyle w:val="ListBullet"/>
      </w:pPr>
      <w:r>
        <w:rPr>
          <w:b w:val="0"/>
        </w:rPr>
        <w:t>The Houthi threat to Saudi crude exports through the Red Sea is compounding an energy squeeze across Asia, with Japan, South Korea and the Philippines already reeling from disruption around the Strait of Hormuz, according to the paper's analysis. The economic exposure matters for cultural positioning because sustained oil-market volatility feeds the wider risk climate against which international partners assess participation in the Kingdom's flagship cultural programmes. (</w:t>
      </w:r>
      <w:hyperlink r:id="rId10">
        <w:r>
          <w:rPr>
            <w:color w:val="0000FF"/>
            <w:u w:val="single"/>
            <w:rFonts w:ascii="Times New Roman" w:hAnsi="Times New Roman"/>
          </w:rPr>
          <w:t xml:space="preserve">The Guardian</w:t>
        </w:r>
      </w:hyperlink>
      <w:r>
        <w:rPr>
          <w:b w:val="0"/>
        </w:rPr>
        <w:t>)</w:t>
      </w:r>
    </w:p>
    <w:p>
      <w:pPr>
        <w:pStyle w:val="ListBullet"/>
      </w:pPr>
      <w:r>
        <w:rPr>
          <w:b w:val="0"/>
        </w:rPr>
        <w:t>Iran's foreign minister held separate calls with Saudi Arabia's Faisal bin Farhan and Oman's Badr Al-Busaidi on stabilising the Strait of Hormuz as a pause in US-Iran hostilities held into Tuesday and President Trump publicly welcomed the exchanges, though Tehran denied direct negotiations. A credible diplomatic de-escalation would ease the security backdrop that currently overshadows the region's cultural and visitor economy. (</w:t>
      </w:r>
      <w:hyperlink r:id="rId11">
        <w:r>
          <w:rPr>
            <w:color w:val="0000FF"/>
            <w:u w:val="single"/>
            <w:rFonts w:ascii="Times New Roman" w:hAnsi="Times New Roman"/>
          </w:rPr>
          <w:t xml:space="preserve">CNBC</w:t>
        </w:r>
      </w:hyperlink>
      <w:r>
        <w:rPr>
          <w:b w:val="0"/>
        </w:rPr>
        <w:t>)</w:t>
      </w:r>
    </w:p>
    <w:p>
      <w:pPr>
        <w:pStyle w:val="NoSpacing"/>
      </w:pPr>
    </w:p>
    <w:p>
      <w:pPr>
        <w:pStyle w:val="NoSpacing"/>
      </w:pPr>
      <w:r>
        <w:rPr>
          <w:b/>
          <w:color w:val="EE0000"/>
        </w:rPr>
        <w:t>Negative Articles</w:t>
      </w:r>
    </w:p>
    <w:p>
      <w:pPr>
        <w:pStyle w:val="ListBullet"/>
      </w:pPr>
      <w:r>
        <w:rPr>
          <w:b w:val="0"/>
        </w:rPr>
        <w:t>A Foreign Policy 'Argument' essay criticises the recently announced US-Saudi civil nuclear cooperation agreement as diplomatically reckless, framing it as a step that risks deepening regional tensions with Iran and Israel rather than easing them. As an opinion piece rather than reporting it is not a factual account, but it signals how the Kingdom's high-profile agreements can attract adversarial framing that spills into the broader reputational climate the cultural narrative has to navigate. (</w:t>
      </w:r>
      <w:hyperlink r:id="rId12">
        <w:r>
          <w:rPr>
            <w:color w:val="0000FF"/>
            <w:u w:val="single"/>
            <w:rFonts w:ascii="Times New Roman" w:hAnsi="Times New Roman"/>
          </w:rPr>
          <w:t xml:space="preserve">Foreign Policy</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The 48th session of UNESCO's World Heritage Committee in Busan inscribed more than two dozen new sites on the World Heritage List, among them the D-Day landing beaches in Normandy, Georgia's Okefenokee wildlife refuge and Greece's Mount Olympus, in a record session that also adopted a 'Busan Declaration' adding collaboration as a sixth strategic objective for the Convention. For the Kingdom, whose eight inscribed properties and active heritage programmes at AlUla and Diriyah are closely aligned with this agenda, the session reaffirms heritage diplomacy as a durable channel for international engagement. (</w:t>
      </w:r>
      <w:hyperlink r:id="rId13">
        <w:r>
          <w:rPr>
            <w:color w:val="0000FF"/>
            <w:u w:val="single"/>
            <w:rFonts w:ascii="Times New Roman" w:hAnsi="Times New Roman"/>
          </w:rPr>
          <w:t xml:space="preserve">Tech Times</w:t>
        </w:r>
      </w:hyperlink>
      <w:r>
        <w:rPr>
          <w:b w:val="0"/>
        </w:rPr>
        <w:t>)</w:t>
      </w:r>
    </w:p>
    <w:p>
      <w:pPr>
        <w:pStyle w:val="ListBullet"/>
      </w:pPr>
      <w:r>
        <w:rPr>
          <w:b w:val="0"/>
        </w:rPr>
        <w:t>Archaeologists in Windisch, Switzerland have revealed the earliest Roman military camp at Vindonissa after an eleven-month rescue excavation, tracing its timber-and-earth defensive wall and uncovering barrack buildings, a bread oven and an early blacksmith's forge. The find is a reminder of the sustained international public appetite for heritage discovery that the Kingdom's own excavation programmes at Hegra and Dadan are positioned to serve. (</w:t>
      </w:r>
      <w:hyperlink r:id="rId14">
        <w:r>
          <w:rPr>
            <w:color w:val="0000FF"/>
            <w:u w:val="single"/>
            <w:rFonts w:ascii="Times New Roman" w:hAnsi="Times New Roman"/>
          </w:rPr>
          <w:t xml:space="preserve">Archaeology News</w:t>
        </w:r>
      </w:hyperlink>
      <w:r>
        <w:rPr>
          <w:b w:val="0"/>
        </w:rPr>
        <w:t>)</w:t>
      </w:r>
    </w:p>
    <w:p>
      <w:pPr>
        <w:pStyle w:val="ListBullet"/>
      </w:pPr>
      <w:r>
        <w:rPr>
          <w:b w:val="0"/>
        </w:rPr>
        <w:t>Separately, researchers from the Autonomous University of Barcelona identified a Roman battle camp in the eastern Pyrenees tied to the Ceretani revolt of 39 BC, recovering sling bullets and defensive earthworks that document a specific ancient military campaign rather than a garrison settlement. Arriving the same day as the Vindonissa announcement, it points to a busy news cycle for European field archaeology and the strong international media reach such discoveries continue to command. (</w:t>
      </w:r>
      <w:hyperlink r:id="rId15">
        <w:r>
          <w:rPr>
            <w:color w:val="0000FF"/>
            <w:u w:val="single"/>
            <w:rFonts w:ascii="Times New Roman" w:hAnsi="Times New Roman"/>
          </w:rPr>
          <w:t xml:space="preserve">Archaeology Magazine</w:t>
        </w:r>
      </w:hyperlink>
      <w:r>
        <w:rPr>
          <w:b w:val="0"/>
        </w:rPr>
        <w:t>)</w:t>
      </w:r>
    </w:p>
    <w:p>
      <w:pPr>
        <w:pStyle w:val="NoSpacing"/>
      </w:pPr>
      <w:r>
        <w:rPr>
          <w:b/>
          <w:color w:val="000000"/>
        </w:rPr>
        <w:t>Visual Arts:</w:t>
      </w:r>
    </w:p>
    <w:p>
      <w:pPr>
        <w:pStyle w:val="ListBullet"/>
      </w:pPr>
      <w:r>
        <w:rPr>
          <w:b w:val="0"/>
        </w:rPr>
        <w:t>Betye Saar, the pioneering American assemblage artist whose found-object works reclaimed Jim Crow-era imagery as statements of Black liberation, has died at 99, days short of her hundredth birthday. A central figure of the 1960s Black Arts Movement whose influence runs through contemporary practice worldwide, her passing is a moment of note across the global art community that Saudi institutions increasingly engage through their own biennales and museum programming. (</w:t>
      </w:r>
      <w:hyperlink r:id="rId16">
        <w:r>
          <w:rPr>
            <w:color w:val="0000FF"/>
            <w:u w:val="single"/>
            <w:rFonts w:ascii="Times New Roman" w:hAnsi="Times New Roman"/>
          </w:rPr>
          <w:t xml:space="preserve">ARTnews</w:t>
        </w:r>
      </w:hyperlink>
      <w:r>
        <w:rPr>
          <w:b w:val="0"/>
        </w:rPr>
        <w:t>)</w:t>
      </w:r>
    </w:p>
    <w:p>
      <w:pPr>
        <w:pStyle w:val="NoSpacing"/>
      </w:pPr>
      <w:r>
        <w:rPr>
          <w:b/>
          <w:color w:val="000000"/>
        </w:rPr>
        <w:t>Architecture and Design:</w:t>
      </w:r>
    </w:p>
    <w:p>
      <w:pPr>
        <w:pStyle w:val="ListBullet"/>
      </w:pPr>
      <w:r>
        <w:rPr>
          <w:b w:val="0"/>
        </w:rPr>
        <w:t>British studio RSHP has completed One Shanghai, a 186-metre mixed-use tower in the city's Jing'an district whose three stacked volumes and external shading were shaped by the preserved Shikumen laneways of the adjacent historic Zhang Garden quarter. The project is a useful reference point for the Kingdom's own architecture and design agenda, which similarly seeks to root contemporary building in local heritage vocabularies rather than import generic forms. (</w:t>
      </w:r>
      <w:hyperlink r:id="rId17">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overshadowing the cultural calendar</w:t>
      </w:r>
    </w:p>
    <w:p>
      <w:pPr>
        <w:pStyle w:val="NoSpacing"/>
      </w:pPr>
      <w:r>
        <w:t>A widening confrontation on the Kingdom's south-western flank, with Houthi strikes on Aramco facilities, a threatened Red Sea blockade and Saudi-Yemen exchanges, raises the ambient risk climate against which international artists, lenders, insurers and audiences weigh participation in the Kingdom's cultural programmes and its December film and heritage seasons.</w:t>
      </w:r>
    </w:p>
    <w:p>
      <w:pPr>
        <w:pStyle w:val="NoSpacing"/>
      </w:pPr>
      <w:r>
        <w:rPr>
          <w:b/>
        </w:rPr>
        <w:t xml:space="preserve">Source: </w:t>
      </w:r>
      <w:hyperlink r:id="rId9">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The Guardian</w:t>
        </w:r>
      </w:hyperlink>
    </w:p>
    <w:p>
      <w:pPr>
        <w:pStyle w:val="NoSpacing"/>
      </w:pPr>
      <w:r>
        <w:rPr>
          <w:b/>
        </w:rPr>
        <w:t xml:space="preserve">Consideration: </w:t>
      </w:r>
      <w:r>
        <w:t>Keep the Ministry's cultural story deliberately distinct from the conflict narrative by foregrounding credible delivery, safe international participation, Saudi talent and institutional professionalism, while avoiding any messaging that ties cultural milestones to the security situation.</w:t>
      </w:r>
    </w:p>
    <w:p>
      <w:pPr>
        <w:pStyle w:val="NoSpacing"/>
      </w:pPr>
    </w:p>
    <w:p>
      <w:pPr>
        <w:pStyle w:val="NoSpacing"/>
      </w:pPr>
      <w:r>
        <w:rPr>
          <w:b/>
          <w:color w:val="000000"/>
        </w:rPr>
        <w:t>2. Reputational spillover from criticism of the US-Saudi nuclear agreement</w:t>
      </w:r>
    </w:p>
    <w:p>
      <w:pPr>
        <w:pStyle w:val="NoSpacing"/>
      </w:pPr>
      <w:r>
        <w:t>Opinion coverage casting the newly announced civil nuclear deal as regionally destabilising illustrates how the Kingdom's high-profile agreements can draw adversarial framing that colours the broader reputational environment in which its cultural and soft-power work is received.</w:t>
      </w:r>
    </w:p>
    <w:p>
      <w:pPr>
        <w:pStyle w:val="NoSpacing"/>
      </w:pPr>
      <w:r>
        <w:rPr>
          <w:b/>
        </w:rPr>
        <w:t xml:space="preserve">Source: </w:t>
      </w:r>
      <w:hyperlink r:id="rId12">
        <w:r>
          <w:rPr>
            <w:color w:val="0000FF"/>
            <w:u w:val="single"/>
            <w:rFonts w:ascii="Times New Roman" w:hAnsi="Times New Roman"/>
          </w:rPr>
          <w:t xml:space="preserve">Foreign Policy</w:t>
        </w:r>
      </w:hyperlink>
    </w:p>
    <w:p>
      <w:pPr>
        <w:pStyle w:val="NoSpacing"/>
      </w:pPr>
      <w:r>
        <w:rPr>
          <w:b/>
        </w:rPr>
        <w:t xml:space="preserve">Consideration: </w:t>
      </w:r>
      <w:r>
        <w:t>Hold the cultural narrative separate from proliferation and security debates, and continue to anchor it in heritage stewardship, public access and genuine cultural exchange, which are harder to contest than geopolitical claims.</w:t>
      </w:r>
    </w:p>
    <w:p>
      <w:pPr>
        <w:pStyle w:val="NoSpacing"/>
      </w:pPr>
    </w:p>
    <w:p>
      <w:pPr>
        <w:pStyle w:val="NoSpacing"/>
      </w:pPr>
      <w:r>
        <w:rPr>
          <w:b/>
          <w:color w:val="A66500"/>
        </w:rPr>
        <w:t>Opportunities</w:t>
      </w:r>
    </w:p>
    <w:p>
      <w:pPr>
        <w:pStyle w:val="NoSpacing"/>
      </w:pPr>
      <w:r>
        <w:rPr>
          <w:b/>
          <w:color w:val="000000"/>
        </w:rPr>
        <w:t>1. Heritage diplomacy momentum at the UNESCO Busan session</w:t>
      </w:r>
    </w:p>
    <w:p>
      <w:pPr>
        <w:pStyle w:val="NoSpacing"/>
      </w:pPr>
      <w:r>
        <w:t>The record World Heritage Committee session and its new emphasis on collaboration create a favourable global backdrop for the Kingdom to position its heritage portfolio, from its eight inscribed sites to the ongoing archaeological work at AlUla, within the international heritage-cooperation agenda.</w:t>
      </w:r>
    </w:p>
    <w:p>
      <w:pPr>
        <w:pStyle w:val="NoSpacing"/>
      </w:pPr>
      <w:r>
        <w:rPr>
          <w:b/>
        </w:rPr>
        <w:t xml:space="preserve">Source: </w:t>
      </w:r>
      <w:hyperlink r:id="rId13">
        <w:r>
          <w:rPr>
            <w:color w:val="0000FF"/>
            <w:u w:val="single"/>
            <w:rFonts w:ascii="Times New Roman" w:hAnsi="Times New Roman"/>
          </w:rPr>
          <w:t xml:space="preserve">Tech Times</w:t>
        </w:r>
      </w:hyperlink>
    </w:p>
    <w:p>
      <w:pPr>
        <w:pStyle w:val="NoSpacing"/>
      </w:pPr>
      <w:r>
        <w:rPr>
          <w:b/>
        </w:rPr>
        <w:t xml:space="preserve">Consideration: </w:t>
      </w:r>
      <w:r>
        <w:t>Connect AlUla, Hegra and Diriyah heritage work into the global collaboration narrative through international partnerships and a clear pipeline towards future nominations, presenting the Kingdom as a contributor to shared heritage stewardship rather than only a domestic developer.</w:t>
      </w:r>
    </w:p>
    <w:p>
      <w:pPr>
        <w:pStyle w:val="NoSpacing"/>
      </w:pPr>
    </w:p>
    <w:p>
      <w:pPr>
        <w:pStyle w:val="NoSpacing"/>
      </w:pPr>
      <w:r>
        <w:rPr>
          <w:b/>
          <w:color w:val="000000"/>
        </w:rPr>
        <w:t>2. A diplomatic opening to reassure cultural partners</w:t>
      </w:r>
    </w:p>
    <w:p>
      <w:pPr>
        <w:pStyle w:val="NoSpacing"/>
      </w:pPr>
      <w:r>
        <w:t>Reported Hormuz stabilisation contacts between Saudi Arabia, Oman and Iran, alongside a pause in hostilities, offer an early signal that the security backdrop could ease, which would directly benefit confidence in the Kingdom's cultural and visitor economy ahead of the autumn and winter programming.</w:t>
      </w:r>
    </w:p>
    <w:p>
      <w:pPr>
        <w:pStyle w:val="NoSpacing"/>
      </w:pPr>
      <w:r>
        <w:rPr>
          <w:b/>
        </w:rPr>
        <w:t xml:space="preserve">Source: </w:t>
      </w:r>
      <w:hyperlink r:id="rId11">
        <w:r>
          <w:rPr>
            <w:color w:val="0000FF"/>
            <w:u w:val="single"/>
            <w:rFonts w:ascii="Times New Roman" w:hAnsi="Times New Roman"/>
          </w:rPr>
          <w:t xml:space="preserve">CNBC</w:t>
        </w:r>
      </w:hyperlink>
    </w:p>
    <w:p>
      <w:pPr>
        <w:pStyle w:val="NoSpacing"/>
      </w:pPr>
      <w:r>
        <w:rPr>
          <w:b/>
        </w:rPr>
        <w:t xml:space="preserve">Consideration: </w:t>
      </w:r>
      <w:r>
        <w:t>Should de-escalation hold, be ready to reassure international cultural partners, festivals and lenders quickly and quietly on delivery timelines and safety, so the cultural calendar is among the first areas to signal a return to normal confidence.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7/27/world/middleeast/houthis-saudi-arabia-iran-war.html" TargetMode="External"/><Relationship Id="rId10" Type="http://schemas.openxmlformats.org/officeDocument/2006/relationships/hyperlink" Target="https://www.theguardian.com/world/2026/jul/28/asia-energy-oil-crisis-red-sea-blockade-houthis" TargetMode="External"/><Relationship Id="rId11" Type="http://schemas.openxmlformats.org/officeDocument/2006/relationships/hyperlink" Target="https://www.cnbc.com/2026/07/28/us-iran-war-trump-hormuz.html" TargetMode="External"/><Relationship Id="rId12" Type="http://schemas.openxmlformats.org/officeDocument/2006/relationships/hyperlink" Target="https://foreignpolicy.com/2026/07/27/trump-nuclear-saudi-arabia-deal-iran-israel/" TargetMode="External"/><Relationship Id="rId13" Type="http://schemas.openxmlformats.org/officeDocument/2006/relationships/hyperlink" Target="https://www.techtimes.com/articles/321672/20260727/d-day-beaches-okefenokee-swamp-mount-olympus-join-unesco-world-heritage-list.htm" TargetMode="External"/><Relationship Id="rId14" Type="http://schemas.openxmlformats.org/officeDocument/2006/relationships/hyperlink" Target="https://archaeologymag.com/2026/07/first-roman-camp-at-vindonissa-revealed/" TargetMode="External"/><Relationship Id="rId15" Type="http://schemas.openxmlformats.org/officeDocument/2006/relationships/hyperlink" Target="https://archaeology.org/news/2026/07/27/roman-battle-camp-found-in-spain/" TargetMode="External"/><Relationship Id="rId16" Type="http://schemas.openxmlformats.org/officeDocument/2006/relationships/hyperlink" Target="https://www.artnews.com/art-news/news/betye-saar-dead-1234793560/" TargetMode="External"/><Relationship Id="rId17" Type="http://schemas.openxmlformats.org/officeDocument/2006/relationships/hyperlink" Target="https://www.dezeen.com/2026/07/27/rshps-one-shanghai-t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