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28 August 2026</w:t>
      </w:r>
    </w:p>
    <w:p>
      <w:pPr>
        <w:pStyle w:val="NoSpacing"/>
      </w:pPr>
    </w:p>
    <w:p>
      <w:pPr>
        <w:pStyle w:val="NoSpacing"/>
      </w:pPr>
      <w:r>
        <w:rPr>
          <w:b/>
          <w:color w:val="4A86E8"/>
        </w:rPr>
        <w:t>Saudi Arabia/Regional</w:t>
      </w:r>
    </w:p>
    <w:p>
      <w:pPr>
        <w:pStyle w:val="ListBullet"/>
      </w:pPr>
      <w:r>
        <w:t>AlUla brings Saudi creativity to Paris</w:t>
      </w:r>
    </w:p>
    <w:p>
      <w:pPr>
        <w:pStyle w:val="NoSpacing"/>
      </w:pPr>
    </w:p>
    <w:p>
      <w:pPr>
        <w:pStyle w:val="NoSpacing"/>
      </w:pPr>
      <w:r>
        <w:rPr>
          <w:b/>
          <w:color w:val="EE0000"/>
        </w:rPr>
        <w:t>Negative Articles</w:t>
      </w:r>
    </w:p>
    <w:p>
      <w:pPr>
        <w:pStyle w:val="ListBullet"/>
      </w:pPr>
      <w:r>
        <w:t>Saudi Response to Houthis' Attacks on Ships May Be a New War</w:t>
      </w:r>
    </w:p>
    <w:p>
      <w:pPr>
        <w:pStyle w:val="ListBullet"/>
      </w:pPr>
      <w:r>
        <w:t>Saudi Arabia preparing for new war with Houthis in Yemen — media</w:t>
      </w:r>
    </w:p>
    <w:p>
      <w:pPr>
        <w:pStyle w:val="ListBullet"/>
      </w:pPr>
      <w:r>
        <w:t>World Cup 2034 hosts Saudi Arabia back Infantino amid FIFA crisis</w:t>
      </w:r>
    </w:p>
    <w:p>
      <w:pPr>
        <w:pStyle w:val="NoSpacing"/>
      </w:pPr>
    </w:p>
    <w:p>
      <w:pPr>
        <w:pStyle w:val="NoSpacing"/>
      </w:pPr>
      <w:r>
        <w:rPr>
          <w:b/>
          <w:color w:val="4A86E8"/>
        </w:rPr>
        <w:t>Global</w:t>
      </w:r>
    </w:p>
    <w:p>
      <w:pPr>
        <w:pStyle w:val="ListBullet"/>
      </w:pPr>
      <w:r>
        <w:t>Yayoi Kusama, Japan's 'queen of polka dots', dies at 97</w:t>
      </w:r>
    </w:p>
    <w:p>
      <w:pPr>
        <w:pStyle w:val="ListBullet"/>
      </w:pPr>
      <w:r>
        <w:t>Founders of alternative art fair Basel Social Club to launch new event in Tokyo</w:t>
      </w:r>
    </w:p>
    <w:p>
      <w:pPr>
        <w:pStyle w:val="ListBullet"/>
      </w:pPr>
      <w:r>
        <w:t>$1.98 M. Worth of Gold Pieces Stolen From the Treasure of Villena</w:t>
      </w:r>
    </w:p>
    <w:p>
      <w:pPr>
        <w:pStyle w:val="ListBullet"/>
      </w:pPr>
      <w:r>
        <w:t>Monumental Herakles Gate with 1,800-Year-Old Reliefs Unearthed at Ancient Side</w:t>
      </w:r>
    </w:p>
    <w:p>
      <w:pPr>
        <w:pStyle w:val="ListBullet"/>
      </w:pPr>
      <w:r>
        <w:t>Russia's Largest Intact Medieval Coin Hoard Found with 2,600 Silver Coins</w:t>
      </w:r>
    </w:p>
    <w:p>
      <w:pPr>
        <w:pStyle w:val="ListBullet"/>
      </w:pPr>
      <w:r>
        <w:t>Monumental Noguchi sculpture donated to the New Orleans Museum of Art</w:t>
      </w:r>
    </w:p>
    <w:p>
      <w:pPr>
        <w:pStyle w:val="ListBullet"/>
      </w:pPr>
      <w:r>
        <w:t>Chief executive of Sydney's anticipated Parramatta Powerhouse museum steps down two months before grand opening</w:t>
      </w:r>
    </w:p>
    <w:p>
      <w:pPr>
        <w:pStyle w:val="ListBullet"/>
      </w:pPr>
      <w:r>
        <w:t>CFDA Releases Preliminary Official New York Fashion Week Schedule for Spring 2027 Season</w:t>
      </w:r>
    </w:p>
    <w:p>
      <w:pPr>
        <w:pStyle w:val="NoSpacing"/>
      </w:pPr>
    </w:p>
    <w:p>
      <w:r>
        <w:br w:type="page"/>
      </w:r>
    </w:p>
    <w:p>
      <w:pPr>
        <w:pStyle w:val="NoSpacing"/>
      </w:pPr>
      <w:r>
        <w:rPr>
          <w:b/>
          <w:color w:val="4A86E8"/>
        </w:rPr>
        <w:t>Saudi Arabia/Regional</w:t>
      </w:r>
    </w:p>
    <w:p>
      <w:pPr>
        <w:pStyle w:val="NoSpacing"/>
      </w:pPr>
      <w:r>
        <w:rPr>
          <w:b/>
          <w:color w:val="000000"/>
        </w:rPr>
        <w:t>Architecture and Design:</w:t>
      </w:r>
    </w:p>
    <w:p>
      <w:pPr>
        <w:pStyle w:val="ListBullet"/>
      </w:pPr>
      <w:r>
        <w:rPr>
          <w:b w:val="0"/>
        </w:rPr>
        <w:t>AlUla is bringing its first dedicated cultural season to Paris this autumn, anchored by the design exhibition "Life of Forms" (Vie des Formes) at Lafayette Anticipations during Paris Design Week from 8 to 13 September, where pieces developed through AlUla's artist residencies reactivate living Saudi crafts — sa'af palm weaving, stone carving, raw-earth building and Hijazi perfumery — before the season continues at Art Basel Paris and Asia Now. Placing AlUla's design and craft heritage inside the flagship weeks of the global design calendar turns the site's residency programme into a visible instrument of cultural diplomacy, extending the Kingdom's creative reach in a leading European market. (</w:t>
      </w:r>
      <w:hyperlink r:id="rId9">
        <w:r>
          <w:rPr>
            <w:color w:val="0000FF"/>
            <w:u w:val="single"/>
            <w:rFonts w:ascii="Times New Roman" w:hAnsi="Times New Roman"/>
          </w:rPr>
          <w:t xml:space="preserve">Al-Monitor</w:t>
        </w:r>
      </w:hyperlink>
      <w:r>
        <w:rPr>
          <w:b w:val="0"/>
        </w:rPr>
        <w:t>)</w:t>
      </w:r>
    </w:p>
    <w:p>
      <w:pPr>
        <w:pStyle w:val="NoSpacing"/>
      </w:pPr>
    </w:p>
    <w:p>
      <w:pPr>
        <w:pStyle w:val="NoSpacing"/>
      </w:pPr>
      <w:r>
        <w:rPr>
          <w:b/>
          <w:color w:val="EE0000"/>
        </w:rPr>
        <w:t>Negative Articles</w:t>
      </w:r>
    </w:p>
    <w:p>
      <w:pPr>
        <w:pStyle w:val="ListBullet"/>
      </w:pPr>
      <w:r>
        <w:rPr>
          <w:b w:val="0"/>
        </w:rPr>
        <w:t>The New York Times reports that Saudi Arabia is prepared for a possible military response to continued Houthi attacks on Red Sea shipping, with officials indicating the Kingdom could launch airstrikes if the assaults persist and would defend itself by all necessary means. Coming after weeks of tanker disruption and rerouting, the prospect of direct Saudi military action sharpens the security-risk backdrop attached to the region just as the cultural and tourism sectors work to project stability and openness along the Kingdom's western coast. (</w:t>
      </w:r>
      <w:hyperlink r:id="rId10">
        <w:r>
          <w:rPr>
            <w:color w:val="0000FF"/>
            <w:u w:val="single"/>
            <w:rFonts w:ascii="Times New Roman" w:hAnsi="Times New Roman"/>
          </w:rPr>
          <w:t xml:space="preserve">New York Times</w:t>
        </w:r>
      </w:hyperlink>
      <w:r>
        <w:rPr>
          <w:b w:val="0"/>
        </w:rPr>
        <w:t>)</w:t>
      </w:r>
    </w:p>
    <w:p>
      <w:pPr>
        <w:pStyle w:val="ListBullet"/>
      </w:pPr>
      <w:r>
        <w:rPr>
          <w:b w:val="0"/>
        </w:rPr>
        <w:t>Russia's state news agency amplified the same reporting under the sharper framing that Saudi Arabia is "preparing for a new war" with the Houthis in Yemen, recasting what other outlets describe as a defensive contingency as Saudi-initiated aggression. The aggressor-oriented spin — echoed by other outlets aligned against Riyadh — is the kind of adversarial narrative that can shadow the Kingdom's international cultural and tourism positioning even when its own posture is defensive. (</w:t>
      </w:r>
      <w:hyperlink r:id="rId11">
        <w:r>
          <w:rPr>
            <w:color w:val="0000FF"/>
            <w:u w:val="single"/>
            <w:rFonts w:ascii="Times New Roman" w:hAnsi="Times New Roman"/>
          </w:rPr>
          <w:t xml:space="preserve">TASS</w:t>
        </w:r>
      </w:hyperlink>
      <w:r>
        <w:rPr>
          <w:b w:val="0"/>
        </w:rPr>
        <w:t>)</w:t>
      </w:r>
    </w:p>
    <w:p>
      <w:pPr>
        <w:pStyle w:val="ListBullet"/>
      </w:pPr>
      <w:r>
        <w:rPr>
          <w:b w:val="0"/>
        </w:rPr>
        <w:t>The Saudi Arabian Football Federation has publicly backed FIFA president Gianni Infantino amid a governance crisis at world football's governing body, throwing its weight behind his leadership as the collapse of a flagship commercial programme fuels scrutiny of his tenure. As the 2034 World Cup host and a major investor in the game through PIF-linked partnerships, the Kingdom's defence of an embattled FIFA leadership reinforces a sportswashing narrative that critics use to question its growing influence over global sport. (</w:t>
      </w:r>
      <w:hyperlink r:id="rId12">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Yayoi Kusama, the Japanese artist whose polka-dot motifs and immersive "Infinity Mirror Rooms" made her one of the world's most-visited living artists, has died at 97; her death on 14 August was announced on 27 August by her museum and foundation. Her career is a striking case of how a single artist's distinctive practice can drive very high museum attendance and global brand collaborations — a model of audience-building and soft power directly relevant to the Kingdom's own museum and visitor-economy ambitions. (</w:t>
      </w:r>
      <w:hyperlink r:id="rId13">
        <w:r>
          <w:rPr>
            <w:color w:val="0000FF"/>
            <w:u w:val="single"/>
            <w:rFonts w:ascii="Times New Roman" w:hAnsi="Times New Roman"/>
          </w:rPr>
          <w:t xml:space="preserve">Al Jazeera</w:t>
        </w:r>
      </w:hyperlink>
      <w:r>
        <w:rPr>
          <w:b w:val="0"/>
        </w:rPr>
        <w:t>)</w:t>
      </w:r>
    </w:p>
    <w:p>
      <w:pPr>
        <w:pStyle w:val="ListBullet"/>
      </w:pPr>
      <w:r>
        <w:rPr>
          <w:b w:val="0"/>
        </w:rPr>
        <w:t>The founders of Basel Social Club, the alternative art-fair project, will launch "Tokyo Jazz Club" from 1 to 8 November in a former Jimbocho capsule hotel during Art Week Tokyo, spreading exhibitions, performance and food across eight floors in an "experience over spectacle" format. The experiment points to growing appetite for artist-led alternatives to the conventional fair model — a programming idea worth watching for the Kingdom as it develops its own distinctive cultural events and districts. (</w:t>
      </w:r>
      <w:hyperlink r:id="rId14">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Thieves stole 59 gold, silver and amber pieces of the roughly 3,000-year-old Treasure of Villena from the MUVI museum in Alicante in a four-minute raid, slipping past night-time security via a diversionary alarm despite functioning systems. The loss of one of Europe's most significant Bronze Age gold hoards is a stark reminder of the physical-security and risk-planning demands facing any institution holding irreplaceable heritage collections. (</w:t>
      </w:r>
      <w:hyperlink r:id="rId15">
        <w:r>
          <w:rPr>
            <w:color w:val="0000FF"/>
            <w:u w:val="single"/>
            <w:rFonts w:ascii="Times New Roman" w:hAnsi="Times New Roman"/>
          </w:rPr>
          <w:t xml:space="preserve">ARTnews</w:t>
        </w:r>
      </w:hyperlink>
      <w:r>
        <w:rPr>
          <w:b w:val="0"/>
        </w:rPr>
        <w:t>)</w:t>
      </w:r>
    </w:p>
    <w:p>
      <w:pPr>
        <w:pStyle w:val="ListBullet"/>
      </w:pPr>
      <w:r>
        <w:rPr>
          <w:b w:val="0"/>
        </w:rPr>
        <w:t>Archaeologists at ancient Side in southern Türkiye have unearthed a monumental Late Antique gateway that reuses early third-century Roman reliefs depicting the Labours of Herakles, documenting how the city was rebuilt and adapted around later institutions. The find is a useful model for narrating multi-layered site histories, an interpretive approach directly transferable to the Kingdom's own long-inhabited sites such as AlUla and Diriyah. (</w:t>
      </w:r>
      <w:hyperlink r:id="rId16">
        <w:r>
          <w:rPr>
            <w:color w:val="0000FF"/>
            <w:u w:val="single"/>
            <w:rFonts w:ascii="Times New Roman" w:hAnsi="Times New Roman"/>
          </w:rPr>
          <w:t xml:space="preserve">Arkeonews</w:t>
        </w:r>
      </w:hyperlink>
      <w:r>
        <w:rPr>
          <w:b w:val="0"/>
        </w:rPr>
        <w:t>)</w:t>
      </w:r>
    </w:p>
    <w:p>
      <w:pPr>
        <w:pStyle w:val="ListBullet"/>
      </w:pPr>
      <w:r>
        <w:rPr>
          <w:b w:val="0"/>
        </w:rPr>
        <w:t>A rescue excavation near the Kremlin in Kolomna, Russia, has yielded the country's largest intact medieval coin hoard — more than 2,600 early-fifteenth-century silver coins in a ceramic jar, including rare local mint types absent from major museum collections. The discovery underlines how salvage archaeology conducted ahead of development can produce significant finds, a reminder of the value of rigorous rescue-excavation frameworks as the Kingdom undertakes large-scale construction near heritage areas. (</w:t>
      </w:r>
      <w:hyperlink r:id="rId17">
        <w:r>
          <w:rPr>
            <w:color w:val="0000FF"/>
            <w:u w:val="single"/>
            <w:rFonts w:ascii="Times New Roman" w:hAnsi="Times New Roman"/>
          </w:rPr>
          <w:t xml:space="preserve">Arkeonews</w:t>
        </w:r>
      </w:hyperlink>
      <w:r>
        <w:rPr>
          <w:b w:val="0"/>
        </w:rPr>
        <w:t>)</w:t>
      </w:r>
    </w:p>
    <w:p>
      <w:pPr>
        <w:pStyle w:val="NoSpacing"/>
      </w:pPr>
      <w:r>
        <w:rPr>
          <w:b/>
          <w:color w:val="000000"/>
        </w:rPr>
        <w:t>Museums:</w:t>
      </w:r>
    </w:p>
    <w:p>
      <w:pPr>
        <w:pStyle w:val="ListBullet"/>
      </w:pPr>
      <w:r>
        <w:rPr>
          <w:b w:val="0"/>
        </w:rPr>
        <w:t>The New Orleans Museum of Art has been gifted Isamu Noguchi's 40-tonne granite "Mississippi Fountain" (1961–62), created with architect Gordon Bunshaft and donated by the Besthoff family, with the water feature to be restored and installed at the museum's entrance this autumn. The acquisition shows how philanthropic gifts of major modern works can activate a museum's public realm — a model of private-public collaboration relevant as the Kingdom builds its own collections and civic cultural spaces. (</w:t>
      </w:r>
      <w:hyperlink r:id="rId18">
        <w:r>
          <w:rPr>
            <w:color w:val="0000FF"/>
            <w:u w:val="single"/>
            <w:rFonts w:ascii="Times New Roman" w:hAnsi="Times New Roman"/>
          </w:rPr>
          <w:t xml:space="preserve">The Art Newspaper</w:t>
        </w:r>
      </w:hyperlink>
      <w:r>
        <w:rPr>
          <w:b w:val="0"/>
        </w:rPr>
        <w:t>)</w:t>
      </w:r>
    </w:p>
    <w:p>
      <w:pPr>
        <w:pStyle w:val="ListBullet"/>
      </w:pPr>
      <w:r>
        <w:rPr>
          <w:b w:val="0"/>
        </w:rPr>
        <w:t>Lisa Havilah, chief executive of Sydney's A$915m Powerhouse Parramatta, has stepped aside pending governance and procurement investigations just two months before the museum's grand opening, after criticism of more than A$70m in pre-opening spending. The episode is a cautionary benchmark on governance, budget discipline and delivery for any large new-build national museum project, including the Kingdom's own forthcoming institutions.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Fashion:</w:t>
      </w:r>
    </w:p>
    <w:p>
      <w:pPr>
        <w:pStyle w:val="ListBullet"/>
      </w:pPr>
      <w:r>
        <w:rPr>
          <w:b w:val="0"/>
        </w:rPr>
        <w:t>The CFDA has released its preliminary Spring 2027 New York Fashion Week schedule, a 70-show calendar opening on 10 September with Diane von Furstenberg's first runway show in a decade under new artistic director Henry Zankov and closing with Thom Browne. The way a major fashion-week calendar is structured to spotlight creative-director transitions offers a useful reference point for the Kingdom's own fashion-week programming and designer-development ambitions. (</w:t>
      </w:r>
      <w:hyperlink r:id="rId20">
        <w:r>
          <w:rPr>
            <w:color w:val="0000FF"/>
            <w:u w:val="single"/>
            <w:rFonts w:ascii="Times New Roman" w:hAnsi="Times New Roman"/>
          </w:rPr>
          <w:t xml:space="preserve">WWD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moves toward the prospect of open conflict</w:t>
      </w:r>
    </w:p>
    <w:p>
      <w:pPr>
        <w:pStyle w:val="NoSpacing"/>
      </w:pPr>
      <w:r>
        <w:t>Two strands of the same story sharpened the regional-security backdrop this cycle: reporting that Saudi Arabia is prepared for a possible military response — including airstrikes — to continued Houthi attacks on Red Sea shipping, and the amplification of that reporting by Russian state media under the aggressor-oriented framing that the Kingdom is "preparing for a new war". This is an intensification of the security-and-energy thread that has run through recent editions, moving from disrupted tanker traffic and rerouting toward the possibility of direct Saudi military action, and it keeps the Kingdom in a contested geopolitical frame — reinforced by outlets aligned against Riyadh — just as the cultural and tourism sectors work to project stability.</w:t>
      </w:r>
    </w:p>
    <w:p>
      <w:pPr>
        <w:pStyle w:val="NoSpacing"/>
      </w:pPr>
      <w:r>
        <w:rPr>
          <w:b/>
        </w:rPr>
        <w:t xml:space="preserve">Source: </w:t>
      </w:r>
      <w:hyperlink r:id="rId10">
        <w:r>
          <w:rPr>
            <w:color w:val="0000FF"/>
            <w:u w:val="single"/>
            <w:rFonts w:ascii="Times New Roman" w:hAnsi="Times New Roman"/>
          </w:rPr>
          <w:t xml:space="preserve">New York Times</w:t>
        </w:r>
      </w:hyperlink>
      <w:r>
        <w:rPr>
          <w:b w:val="0"/>
        </w:rPr>
        <w:t xml:space="preserve">, </w:t>
      </w:r>
      <w:hyperlink r:id="rId11">
        <w:r>
          <w:rPr>
            <w:color w:val="0000FF"/>
            <w:u w:val="single"/>
            <w:rFonts w:ascii="Times New Roman" w:hAnsi="Times New Roman"/>
          </w:rPr>
          <w:t xml:space="preserve">TASS</w:t>
        </w:r>
      </w:hyperlink>
    </w:p>
    <w:p>
      <w:pPr>
        <w:pStyle w:val="NoSpacing"/>
      </w:pPr>
      <w:r>
        <w:rPr>
          <w:b/>
        </w:rPr>
        <w:t xml:space="preserve">Consideration: </w:t>
      </w:r>
      <w:r>
        <w:t>Consistent with the assessment carried in recent editions, the Ministry should keep its cultural narrative — public access, credible delivery, Saudi talent and heritage stewardship — clearly distinct from the security story rather than reactive to it. The situation has escalated but the recommended posture is unchanged: sustained, high-quality cultural output remains the most effective counterweight to a news cycle dominated by regional risk, and should not be paused or reframed around it.</w:t>
      </w:r>
    </w:p>
    <w:p>
      <w:pPr>
        <w:pStyle w:val="NoSpacing"/>
      </w:pPr>
    </w:p>
    <w:p>
      <w:pPr>
        <w:pStyle w:val="NoSpacing"/>
      </w:pPr>
      <w:r>
        <w:rPr>
          <w:b/>
          <w:color w:val="000000"/>
        </w:rPr>
        <w:t>2. Sportswashing scrutiny resurfaces around Saudi influence in global football</w:t>
      </w:r>
    </w:p>
    <w:p>
      <w:pPr>
        <w:pStyle w:val="NoSpacing"/>
      </w:pPr>
      <w:r>
        <w:t>Saudi Arabia's public backing of FIFA president Gianni Infantino during a governance crisis at world football's governing body has drawn fresh attention to the Kingdom's expanding role in global sport as 2034 World Cup host and a major investor through PIF-linked partnerships. While a sports-governance story rather than a cultural one, it feeds the familiar sportswashing critique that can colour international readings of the Kingdom's wider soft-power and cultural investments.</w:t>
      </w:r>
    </w:p>
    <w:p>
      <w:pPr>
        <w:pStyle w:val="NoSpacing"/>
      </w:pPr>
      <w:r>
        <w:rPr>
          <w:b/>
        </w:rPr>
        <w:t xml:space="preserve">Source: </w:t>
      </w:r>
      <w:hyperlink r:id="rId12">
        <w:r>
          <w:rPr>
            <w:color w:val="0000FF"/>
            <w:u w:val="single"/>
            <w:rFonts w:ascii="Times New Roman" w:hAnsi="Times New Roman"/>
          </w:rPr>
          <w:t xml:space="preserve">Al Jazeera</w:t>
        </w:r>
      </w:hyperlink>
    </w:p>
    <w:p>
      <w:pPr>
        <w:pStyle w:val="NoSpacing"/>
      </w:pPr>
      <w:r>
        <w:rPr>
          <w:b/>
        </w:rPr>
        <w:t xml:space="preserve">Consideration: </w:t>
      </w:r>
      <w:r>
        <w:t>The Ministry can keep its cultural programme clearly anchored in substance — public participation, Saudi talent and institutional professionalism — so that cultural achievements are read on their own terms rather than folded into the sportswashing narrative attached to high-profile sporting ventures.</w:t>
      </w:r>
    </w:p>
    <w:p>
      <w:pPr>
        <w:pStyle w:val="NoSpacing"/>
      </w:pPr>
    </w:p>
    <w:p>
      <w:pPr>
        <w:pStyle w:val="NoSpacing"/>
      </w:pPr>
      <w:r>
        <w:rPr>
          <w:b/>
          <w:color w:val="A66500"/>
        </w:rPr>
        <w:t>Opportunities</w:t>
      </w:r>
    </w:p>
    <w:p>
      <w:pPr>
        <w:pStyle w:val="NoSpacing"/>
      </w:pPr>
      <w:r>
        <w:rPr>
          <w:b/>
          <w:color w:val="000000"/>
        </w:rPr>
        <w:t>1. Saudi creativity taking its place on the international stage</w:t>
      </w:r>
    </w:p>
    <w:p>
      <w:pPr>
        <w:pStyle w:val="NoSpacing"/>
      </w:pPr>
      <w:r>
        <w:t>AlUla's first dedicated cultural season in Paris — anchored by the "Life of Forms" design exhibition during Paris Design Week and continuing at Art Basel Paris and Asia Now — places Saudi design and craft heritage inside the flagship weeks of the global cultural calendar, with residency-developed work reactivating living Saudi crafts for an international audience. It is a clear instance of the Kingdom's creative output being translated into cultural-diplomacy presence in a leading European market rather than staying within domestic showcases.</w:t>
      </w:r>
    </w:p>
    <w:p>
      <w:pPr>
        <w:pStyle w:val="NoSpacing"/>
      </w:pPr>
      <w:r>
        <w:rPr>
          <w:b/>
        </w:rPr>
        <w:t xml:space="preserve">Source: </w:t>
      </w:r>
      <w:hyperlink r:id="rId9">
        <w:r>
          <w:rPr>
            <w:color w:val="0000FF"/>
            <w:u w:val="single"/>
            <w:rFonts w:ascii="Times New Roman" w:hAnsi="Times New Roman"/>
          </w:rPr>
          <w:t xml:space="preserve">Al-Monitor</w:t>
        </w:r>
      </w:hyperlink>
    </w:p>
    <w:p>
      <w:pPr>
        <w:pStyle w:val="NoSpacing"/>
      </w:pPr>
      <w:r>
        <w:rPr>
          <w:b/>
        </w:rPr>
        <w:t xml:space="preserve">Consideration: </w:t>
      </w:r>
      <w:r>
        <w:t>The Ministry and its commissions can connect activations like this into a single national narrative about Saudi creative talent and heritage crafts reaching international platforms, foregrounding Saudi makers, designers and residency pipelines rather than treating each showcase abroad as an isolated event.</w:t>
      </w:r>
    </w:p>
    <w:p>
      <w:pPr>
        <w:pStyle w:val="NoSpacing"/>
      </w:pPr>
    </w:p>
    <w:p>
      <w:pPr>
        <w:pStyle w:val="NoSpacing"/>
      </w:pPr>
      <w:r>
        <w:rPr>
          <w:b/>
          <w:color w:val="000000"/>
        </w:rPr>
        <w:t>2. International museum and heritage practice offers a spread of benchmarks</w:t>
      </w:r>
    </w:p>
    <w:p>
      <w:pPr>
        <w:pStyle w:val="NoSpacing"/>
      </w:pPr>
      <w:r>
        <w:t>Several international stories this cycle map onto Saudi cultural priorities from different directions: the philanthropic gift of a monumental Noguchi sculpture to the New Orleans Museum of Art shows how private donations can activate a museum's public realm, while a newly unearthed Herakles gateway at ancient Side models the interpretation of layered, multi-period site histories. Set against these opportunities, the four-minute theft of the Treasure of Villena from a Spanish museum is a cautionary reminder that collection security and risk planning underpin any such ambition.</w:t>
      </w:r>
    </w:p>
    <w:p>
      <w:pPr>
        <w:pStyle w:val="NoSpacing"/>
      </w:pPr>
      <w:r>
        <w:rPr>
          <w:b/>
        </w:rPr>
        <w:t xml:space="preserve">Source: </w:t>
      </w:r>
      <w:hyperlink r:id="rId18">
        <w:r>
          <w:rPr>
            <w:color w:val="0000FF"/>
            <w:u w:val="single"/>
            <w:rFonts w:ascii="Times New Roman" w:hAnsi="Times New Roman"/>
          </w:rPr>
          <w:t xml:space="preserve">The Art Newspaper</w:t>
        </w:r>
      </w:hyperlink>
      <w:r>
        <w:rPr>
          <w:b w:val="0"/>
        </w:rPr>
        <w:t xml:space="preserve">, </w:t>
      </w:r>
      <w:hyperlink r:id="rId16">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ARTnews</w:t>
        </w:r>
      </w:hyperlink>
    </w:p>
    <w:p>
      <w:pPr>
        <w:pStyle w:val="NoSpacing"/>
      </w:pPr>
      <w:r>
        <w:rPr>
          <w:b/>
        </w:rPr>
        <w:t xml:space="preserve">Consideration: </w:t>
      </w:r>
      <w:r>
        <w:t>The Museums and Heritage Commissions can treat the acquisition and interpretation models as examples to emulate — pursuing philanthropic partnerships and layered, narrative-led interpretation at sites such as AlUla and Diriyah — while reading the Villena theft as a prompt to embed international best practice in collection security and risk planning from the outset.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monitor.com/newsletter/2026-08-27/alula-brings-saudi-creativity-paris" TargetMode="External"/><Relationship Id="rId10" Type="http://schemas.openxmlformats.org/officeDocument/2006/relationships/hyperlink" Target="https://www.nytimes.com/2026/08/27/world/middleeast/saudi-arabia-yemen-houthis-war.html" TargetMode="External"/><Relationship Id="rId11" Type="http://schemas.openxmlformats.org/officeDocument/2006/relationships/hyperlink" Target="https://tass.com/world/2178491" TargetMode="External"/><Relationship Id="rId12" Type="http://schemas.openxmlformats.org/officeDocument/2006/relationships/hyperlink" Target="https://www.aljazeera.com/sports/2026/8/27/world-cup-2034-hosts-saudi-arabia-back-infantino-amid-fifa-crisis" TargetMode="External"/><Relationship Id="rId13" Type="http://schemas.openxmlformats.org/officeDocument/2006/relationships/hyperlink" Target="https://www.aljazeera.com/news/2026/8/27/yayoi-kusama-japans-queen-of-polka-dots-dies-at-97" TargetMode="External"/><Relationship Id="rId14" Type="http://schemas.openxmlformats.org/officeDocument/2006/relationships/hyperlink" Target="https://www.theartnewspaper.com/2026/08/27/alternative-art-fair-basel-social-club-to-launch-new-event-tokyo" TargetMode="External"/><Relationship Id="rId15" Type="http://schemas.openxmlformats.org/officeDocument/2006/relationships/hyperlink" Target="https://www.artnews.com/art-news/news/gold-pieces-stolen-from-the-treasure-of-villena-1234796080/" TargetMode="External"/><Relationship Id="rId16" Type="http://schemas.openxmlformats.org/officeDocument/2006/relationships/hyperlink" Target="https://arkeonews.net/monumental-herakles-gate-with-1800-year-old-reliefs-unearthed-at-ancient-side/" TargetMode="External"/><Relationship Id="rId17" Type="http://schemas.openxmlformats.org/officeDocument/2006/relationships/hyperlink" Target="https://arkeonews.net/russias-largest-intact-medieval-coin-hoard-found-with-2600-silver-coins/" TargetMode="External"/><Relationship Id="rId18" Type="http://schemas.openxmlformats.org/officeDocument/2006/relationships/hyperlink" Target="https://www.theartnewspaper.com/2026/08/27/monumental-isamu-noguchi-sculpture-donated-moving-new-orleans-museum-art-mississippi-fountain" TargetMode="External"/><Relationship Id="rId19" Type="http://schemas.openxmlformats.org/officeDocument/2006/relationships/hyperlink" Target="https://www.theartnewspaper.com/2026/08/27/chief-executive-of-sydneys-anticipated-parramatta-powerhouse-museum-steps-down-two-months-before-grand-opening" TargetMode="External"/><Relationship Id="rId20" Type="http://schemas.openxmlformats.org/officeDocument/2006/relationships/hyperlink" Target="https://wwd.com/fashion-news/designer-luxury/cfda-official-new-york-fashion-week-schedule-1239047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