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13 August 2026</w:t>
      </w:r>
    </w:p>
    <w:p>
      <w:pPr>
        <w:pStyle w:val="NoSpacing"/>
      </w:pPr>
    </w:p>
    <w:p>
      <w:pPr>
        <w:pStyle w:val="NoSpacing"/>
      </w:pPr>
      <w:r>
        <w:rPr>
          <w:b/>
          <w:color w:val="4A86E8"/>
        </w:rPr>
        <w:t>Saudi Arabia/Regional</w:t>
      </w:r>
    </w:p>
    <w:p>
      <w:pPr>
        <w:pStyle w:val="ListBullet"/>
      </w:pPr>
      <w:r>
        <w:t>Gulf states scramble for Strait of Hormuz alternative</w:t>
      </w:r>
    </w:p>
    <w:p>
      <w:pPr>
        <w:pStyle w:val="ListBullet"/>
      </w:pPr>
      <w:r>
        <w:t>Saudi Arabia Sees First Supertanker at Persian Gulf Export Terminal in Weeks</w:t>
      </w:r>
    </w:p>
    <w:p>
      <w:pPr>
        <w:pStyle w:val="ListBullet"/>
      </w:pPr>
      <w:r>
        <w:t>Israeli textbook watchdog commends Saudi education reforms</w:t>
      </w:r>
    </w:p>
    <w:p>
      <w:pPr>
        <w:pStyle w:val="NoSpacing"/>
      </w:pPr>
    </w:p>
    <w:p>
      <w:pPr>
        <w:pStyle w:val="NoSpacing"/>
      </w:pPr>
      <w:r>
        <w:rPr>
          <w:b/>
          <w:color w:val="EE0000"/>
        </w:rPr>
        <w:t>Negative Articles</w:t>
      </w:r>
    </w:p>
    <w:p>
      <w:pPr>
        <w:pStyle w:val="ListBullet"/>
      </w:pPr>
      <w:r>
        <w:t>Saudi Arabia opposed Egypt's inclusion in Mecca agreement, sources say</w:t>
      </w:r>
    </w:p>
    <w:p>
      <w:pPr>
        <w:pStyle w:val="NoSpacing"/>
      </w:pPr>
    </w:p>
    <w:p>
      <w:pPr>
        <w:pStyle w:val="NoSpacing"/>
      </w:pPr>
      <w:r>
        <w:rPr>
          <w:b/>
          <w:color w:val="4A86E8"/>
        </w:rPr>
        <w:t>Global</w:t>
      </w:r>
    </w:p>
    <w:p>
      <w:pPr>
        <w:pStyle w:val="ListBullet"/>
      </w:pPr>
      <w:r>
        <w:t>Nile Delta Necropolis Used for Thousands of Years</w:t>
      </w:r>
    </w:p>
    <w:p>
      <w:pPr>
        <w:pStyle w:val="ListBullet"/>
      </w:pPr>
      <w:r>
        <w:t>Zeitz MOCAA Names Elvira Dyangani Ose as Next Artistic Director</w:t>
      </w:r>
    </w:p>
    <w:p>
      <w:pPr>
        <w:pStyle w:val="ListBullet"/>
      </w:pPr>
      <w:r>
        <w:t>SF Camerawork To Close After Five Decades, Citing 'Changing Philanthropic Landscape'</w:t>
      </w:r>
    </w:p>
    <w:p>
      <w:pPr>
        <w:pStyle w:val="ListBullet"/>
      </w:pPr>
      <w:r>
        <w:t>Sotheby's Lands Another Blockbuster Collection as Blaquier Family Parts With $450 M. of Impressionist Treasures</w:t>
      </w:r>
    </w:p>
    <w:p>
      <w:pPr>
        <w:pStyle w:val="NoSpacing"/>
      </w:pPr>
    </w:p>
    <w:p>
      <w:r>
        <w:br w:type="page"/>
      </w:r>
    </w:p>
    <w:p>
      <w:pPr>
        <w:pStyle w:val="NoSpacing"/>
      </w:pPr>
      <w:r>
        <w:rPr>
          <w:b/>
          <w:color w:val="4A86E8"/>
        </w:rPr>
        <w:t>Saudi Arabia/Regional</w:t>
      </w:r>
    </w:p>
    <w:p>
      <w:pPr>
        <w:pStyle w:val="NoSpacing"/>
      </w:pPr>
      <w:r>
        <w:rPr>
          <w:b/>
          <w:color w:val="000000"/>
        </w:rPr>
        <w:t>General:</w:t>
      </w:r>
    </w:p>
    <w:p>
      <w:pPr>
        <w:pStyle w:val="ListBullet"/>
      </w:pPr>
      <w:r>
        <w:rPr>
          <w:b w:val="0"/>
        </w:rPr>
        <w:t>Saudi Arabia has shown it can keep crude flowing despite the prolonged disruption around the Strait of Hormuz, redirecting substantial volumes through the East-West Pipeline to the Red Sea port of Yanbu while most other Gulf producers still lack a comparable alternative, Deutsche Welle reported. The contrast underlines the Kingdom's relative logistical resilience at a moment when security and energy headlines dominate international coverage of Saudi Arabia, reinforcing the backdrop against which the Ministry's cultural and tourism messaging is now read. (</w:t>
      </w:r>
      <w:hyperlink r:id="rId9">
        <w:r>
          <w:rPr>
            <w:color w:val="0000FF"/>
            <w:u w:val="single"/>
            <w:rFonts w:ascii="Times New Roman" w:hAnsi="Times New Roman"/>
          </w:rPr>
          <w:t xml:space="preserve">Deutsche Welle</w:t>
        </w:r>
      </w:hyperlink>
      <w:r>
        <w:rPr>
          <w:b w:val="0"/>
        </w:rPr>
        <w:t>)</w:t>
      </w:r>
    </w:p>
    <w:p>
      <w:pPr>
        <w:pStyle w:val="ListBullet"/>
      </w:pPr>
      <w:r>
        <w:rPr>
          <w:b w:val="0"/>
        </w:rPr>
        <w:t>A very large crude carrier was seen moored at Saudi Arabia's main Persian Gulf export terminal at Ju'aymah for the first time in almost a month, according to Bloomberg's reading of satellite imagery, as the Kingdom works to sustain shipments after Houthi threats extended to its Red Sea coast. Early signs that the Gulf export route is functioning again point to a gradual normalisation of trade that supports the economic-stability narrative underpinning Vision 2030's parallel investment in cultural and creative industries. (</w:t>
      </w:r>
      <w:hyperlink r:id="rId10">
        <w:r>
          <w:rPr>
            <w:color w:val="0000FF"/>
            <w:u w:val="single"/>
            <w:rFonts w:ascii="Times New Roman" w:hAnsi="Times New Roman"/>
          </w:rPr>
          <w:t xml:space="preserve">Bloomberg</w:t>
        </w:r>
      </w:hyperlink>
      <w:r>
        <w:rPr>
          <w:b w:val="0"/>
        </w:rPr>
        <w:t>)</w:t>
      </w:r>
    </w:p>
    <w:p>
      <w:pPr>
        <w:pStyle w:val="ListBullet"/>
      </w:pPr>
      <w:r>
        <w:rPr>
          <w:b w:val="0"/>
        </w:rPr>
        <w:t>An Israeli education watchdog's review of 136 Saudi schoolbooks found that the Kingdom has removed most of the passages it had previously flagged as intolerant towards Christians and Jews, with the curriculum now emphasising coexistence and critical thinking, Semafor reported, while noting critics' caution about drawing broad conclusions from isolated phrases. Independent external recognition of curriculum reform adds to the wider narrative of social modernisation that sits alongside the Ministry's cultural-openness agenda, even as the sensitivity of the source is likely to shape how the finding is received regionally. (</w:t>
      </w:r>
      <w:hyperlink r:id="rId11">
        <w:r>
          <w:rPr>
            <w:color w:val="0000FF"/>
            <w:u w:val="single"/>
            <w:rFonts w:ascii="Times New Roman" w:hAnsi="Times New Roman"/>
          </w:rPr>
          <w:t xml:space="preserve">Semafor</w:t>
        </w:r>
      </w:hyperlink>
      <w:r>
        <w:rPr>
          <w:b w:val="0"/>
        </w:rPr>
        <w:t>)</w:t>
      </w:r>
    </w:p>
    <w:p>
      <w:pPr>
        <w:pStyle w:val="NoSpacing"/>
      </w:pPr>
    </w:p>
    <w:p>
      <w:pPr>
        <w:pStyle w:val="NoSpacing"/>
      </w:pPr>
      <w:r>
        <w:rPr>
          <w:b/>
          <w:color w:val="EE0000"/>
        </w:rPr>
        <w:t>Negative Articles</w:t>
      </w:r>
    </w:p>
    <w:p>
      <w:pPr>
        <w:pStyle w:val="ListBullet"/>
      </w:pPr>
      <w:r>
        <w:rPr>
          <w:b w:val="0"/>
        </w:rPr>
        <w:t>Middle East Eye reported that Saudi Arabia blocked Egypt's inclusion in the new Mecca defence pact with Turkey and Pakistan, citing three Saudi sources who pointed to frustration with Cairo and doubts about its strategic weight. The framing — from an outlet whose funding is opaque and widely linked to Qatar, giving it an interest in amplifying intra-Arab friction — casts the Kingdom as high-handed towards a major Arab partner, a reputational read the Ministry should note is circulating alongside the wider pact coverage. (</w:t>
      </w:r>
      <w:hyperlink r:id="rId12">
        <w:r>
          <w:rPr>
            <w:color w:val="0000FF"/>
            <w:u w:val="single"/>
            <w:rFonts w:ascii="Times New Roman" w:hAnsi="Times New Roman"/>
          </w:rPr>
          <w:t xml:space="preserve">Middle East Eye</w:t>
        </w:r>
      </w:hyperlink>
      <w:r>
        <w:rPr>
          <w:b w:val="0"/>
        </w:rPr>
        <w:t>)</w:t>
      </w:r>
    </w:p>
    <w:p>
      <w:pPr>
        <w:pStyle w:val="NoSpacing"/>
      </w:pPr>
    </w:p>
    <w:p>
      <w:pPr>
        <w:pStyle w:val="NoSpacing"/>
      </w:pPr>
      <w:r>
        <w:rPr>
          <w:b/>
          <w:color w:val="4A86E8"/>
        </w:rPr>
        <w:t>Global</w:t>
      </w:r>
    </w:p>
    <w:p>
      <w:pPr>
        <w:pStyle w:val="NoSpacing"/>
      </w:pPr>
      <w:r>
        <w:rPr>
          <w:b/>
          <w:color w:val="000000"/>
        </w:rPr>
        <w:t>Heritage:</w:t>
      </w:r>
    </w:p>
    <w:p>
      <w:pPr>
        <w:pStyle w:val="ListBullet"/>
      </w:pPr>
      <w:r>
        <w:rPr>
          <w:b w:val="0"/>
        </w:rPr>
        <w:t>Egyptian archaeologists have documented a necropolis at Kom El-Khelgan in the eastern Nile Delta with burials spanning from the Predynastic period through the Greco-Roman era, including fourth-millennium BC sand graves and a Ptolemaic-era child buried in an amphora, Archaeology Magazine reported. The find is a reminder of the sustained international audience for excavation storytelling, the same appetite Saudi Arabia's own programmes at AlUla, Hegra, Dadan and Al-Faw are positioned to draw on. (</w:t>
      </w:r>
      <w:hyperlink r:id="rId13">
        <w:r>
          <w:rPr>
            <w:color w:val="0000FF"/>
            <w:u w:val="single"/>
            <w:rFonts w:ascii="Times New Roman" w:hAnsi="Times New Roman"/>
          </w:rPr>
          <w:t xml:space="preserve">Archaeology Magazine</w:t>
        </w:r>
      </w:hyperlink>
      <w:r>
        <w:rPr>
          <w:b w:val="0"/>
        </w:rPr>
        <w:t>)</w:t>
      </w:r>
    </w:p>
    <w:p>
      <w:pPr>
        <w:pStyle w:val="NoSpacing"/>
      </w:pPr>
      <w:r>
        <w:rPr>
          <w:b/>
          <w:color w:val="000000"/>
        </w:rPr>
        <w:t>Museums:</w:t>
      </w:r>
    </w:p>
    <w:p>
      <w:pPr>
        <w:pStyle w:val="ListBullet"/>
      </w:pPr>
      <w:r>
        <w:rPr>
          <w:b w:val="0"/>
        </w:rPr>
        <w:t>Zeitz MOCAA in Cape Town has named Elvira Dyangani Ose as its next artistic director, succeeding the late Koyo Kouoh, with her tenure to begin on 1 October, ARTnews reported; Dyangani Ose currently leads the Public Art Abu Dhabi Biennial and previously directed MACBA in Barcelona. Her move signals the increasingly fluid exchange of senior curatorial talent between established institutions and the Gulf, a dynamic Saudi museums and biennials can benefit from as they build out their own leadership pipelines. (</w:t>
      </w:r>
      <w:hyperlink r:id="rId14">
        <w:r>
          <w:rPr>
            <w:color w:val="0000FF"/>
            <w:u w:val="single"/>
            <w:rFonts w:ascii="Times New Roman" w:hAnsi="Times New Roman"/>
          </w:rPr>
          <w:t xml:space="preserve">ARTnews</w:t>
        </w:r>
      </w:hyperlink>
      <w:r>
        <w:rPr>
          <w:b w:val="0"/>
        </w:rPr>
        <w:t>)</w:t>
      </w:r>
    </w:p>
    <w:p>
      <w:pPr>
        <w:pStyle w:val="NoSpacing"/>
      </w:pPr>
      <w:r>
        <w:rPr>
          <w:b/>
          <w:color w:val="000000"/>
        </w:rPr>
        <w:t>Visual Arts:</w:t>
      </w:r>
    </w:p>
    <w:p>
      <w:pPr>
        <w:pStyle w:val="ListBullet"/>
      </w:pPr>
      <w:r>
        <w:rPr>
          <w:b w:val="0"/>
        </w:rPr>
        <w:t>SF Camerawork, a San Francisco photography institution founded 52 years ago, has announced that it will close, citing rising operating costs, declining public funding and a changing philanthropic landscape, ARTnews reported. The closure adds to a run of financial strain among Western arts organisations, an instructive contrast with the better-resourced institution-building underway across the Gulf. (</w:t>
      </w:r>
      <w:hyperlink r:id="rId15">
        <w:r>
          <w:rPr>
            <w:color w:val="0000FF"/>
            <w:u w:val="single"/>
            <w:rFonts w:ascii="Times New Roman" w:hAnsi="Times New Roman"/>
          </w:rPr>
          <w:t xml:space="preserve">ARTnews</w:t>
        </w:r>
      </w:hyperlink>
      <w:r>
        <w:rPr>
          <w:b w:val="0"/>
        </w:rPr>
        <w:t>)</w:t>
      </w:r>
    </w:p>
    <w:p>
      <w:pPr>
        <w:pStyle w:val="ListBullet"/>
      </w:pPr>
      <w:r>
        <w:rPr>
          <w:b w:val="0"/>
        </w:rPr>
        <w:t>Sotheby's has secured roughly $450m of Impressionist and Post-Impressionist works from the collection of the late Argentine industrialists Nelly Arrieta de Blaquier and Carlos Pedro Blaquier, beating Christie's for a consignment expected to anchor the autumn auction season, ARTnews reported. The scale of the deal points to continued strength at the top of the international art market, the environment into which the Kingdom's growing gallery, auction and collecting ecosystem is stepping. (</w:t>
      </w:r>
      <w:hyperlink r:id="rId16">
        <w:r>
          <w:rPr>
            <w:color w:val="0000FF"/>
            <w:u w:val="single"/>
            <w:rFonts w:ascii="Times New Roman" w:hAnsi="Times New Roman"/>
          </w:rPr>
          <w:t xml:space="preserve">ARTnews</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Regional security and energy headlines continue to crowd out the cultural narrative</w:t>
      </w:r>
    </w:p>
    <w:p>
      <w:pPr>
        <w:pStyle w:val="NoSpacing"/>
      </w:pPr>
      <w:r>
        <w:t>The Kingdom's efforts to sustain oil exports around the Strait of Hormuz and its Red Sea coast, set against the wider defence-pact realignment, keep Saudi Arabia framed within a security-and-energy story this cycle, with little in-window international coverage of its cultural sector to counterbalance it. As in recent editions, a sustained security frame risks overshadowing the Ministry's cultural-tourism and Vision 2030 messaging in global media.</w:t>
      </w:r>
    </w:p>
    <w:p>
      <w:pPr>
        <w:pStyle w:val="NoSpacing"/>
      </w:pPr>
      <w:r>
        <w:rPr>
          <w:b/>
        </w:rPr>
        <w:t xml:space="preserve">Source: </w:t>
      </w:r>
      <w:hyperlink r:id="rId9">
        <w:r>
          <w:rPr>
            <w:color w:val="0000FF"/>
            <w:u w:val="single"/>
            <w:rFonts w:ascii="Times New Roman" w:hAnsi="Times New Roman"/>
          </w:rPr>
          <w:t xml:space="preserve">Deutsche Welle</w:t>
        </w:r>
      </w:hyperlink>
      <w:r>
        <w:rPr>
          <w:b w:val="0"/>
        </w:rPr>
        <w:t xml:space="preserve">, </w:t>
      </w:r>
      <w:hyperlink r:id="rId10">
        <w:r>
          <w:rPr>
            <w:color w:val="0000FF"/>
            <w:u w:val="single"/>
            <w:rFonts w:ascii="Times New Roman" w:hAnsi="Times New Roman"/>
          </w:rPr>
          <w:t xml:space="preserve">Bloomberg</w:t>
        </w:r>
      </w:hyperlink>
    </w:p>
    <w:p>
      <w:pPr>
        <w:pStyle w:val="NoSpacing"/>
      </w:pPr>
      <w:r>
        <w:rPr>
          <w:b/>
        </w:rPr>
        <w:t xml:space="preserve">Consideration: </w:t>
      </w:r>
      <w:r>
        <w:t>Keep the cultural narrative deliberately distinct from the security cycle, foregrounding credible delivery, public access, heritage stewardship and safe international participation rather than engaging the geopolitical story directly.</w:t>
      </w:r>
    </w:p>
    <w:p>
      <w:pPr>
        <w:pStyle w:val="NoSpacing"/>
      </w:pPr>
    </w:p>
    <w:p>
      <w:pPr>
        <w:pStyle w:val="NoSpacing"/>
      </w:pPr>
      <w:r>
        <w:rPr>
          <w:b/>
          <w:color w:val="000000"/>
        </w:rPr>
        <w:t>2. Adversarial framing amplifies intra-Arab friction over the Mecca pact</w:t>
      </w:r>
    </w:p>
    <w:p>
      <w:pPr>
        <w:pStyle w:val="NoSpacing"/>
      </w:pPr>
      <w:r>
        <w:t>Qatari-linked coverage is presenting Saudi Arabia as having rebuffed Egypt over the new defence agreement, a narrative that — whatever its sourcing motives — applies reputational pressure around the Kingdom's standing with a major Arab partner at a sensitive moment.</w:t>
      </w:r>
    </w:p>
    <w:p>
      <w:pPr>
        <w:pStyle w:val="NoSpacing"/>
      </w:pPr>
      <w:r>
        <w:rPr>
          <w:b/>
        </w:rPr>
        <w:t xml:space="preserve">Source: </w:t>
      </w:r>
      <w:hyperlink r:id="rId12">
        <w:r>
          <w:rPr>
            <w:color w:val="0000FF"/>
            <w:u w:val="single"/>
            <w:rFonts w:ascii="Times New Roman" w:hAnsi="Times New Roman"/>
          </w:rPr>
          <w:t xml:space="preserve">Middle East Eye</w:t>
        </w:r>
      </w:hyperlink>
    </w:p>
    <w:p>
      <w:pPr>
        <w:pStyle w:val="NoSpacing"/>
      </w:pPr>
      <w:r>
        <w:rPr>
          <w:b/>
        </w:rPr>
        <w:t xml:space="preserve">Consideration: </w:t>
      </w:r>
      <w:r>
        <w:t>Keep the Ministry's cultural messaging clear of the defence-pact controversy and reinforce the soft-power narrative of partnership, exchange and cultural diplomacy, consistent with the approach taken in recent editions.</w:t>
      </w:r>
    </w:p>
    <w:p>
      <w:pPr>
        <w:pStyle w:val="NoSpacing"/>
      </w:pPr>
    </w:p>
    <w:p>
      <w:pPr>
        <w:pStyle w:val="NoSpacing"/>
      </w:pPr>
      <w:r>
        <w:rPr>
          <w:b/>
          <w:color w:val="A66500"/>
        </w:rPr>
        <w:t>Opportunities</w:t>
      </w:r>
    </w:p>
    <w:p>
      <w:pPr>
        <w:pStyle w:val="NoSpacing"/>
      </w:pPr>
      <w:r>
        <w:rPr>
          <w:b/>
          <w:color w:val="000000"/>
        </w:rPr>
        <w:t>1. Sustained global appetite for heritage and archaeology storytelling</w:t>
      </w:r>
    </w:p>
    <w:p>
      <w:pPr>
        <w:pStyle w:val="NoSpacing"/>
      </w:pPr>
      <w:r>
        <w:t>International specialist coverage of new discoveries remained strong in-window, with a multi-period necropolis documented in the Egyptian Nile Delta underlining a durable global audience for excavation narratives. Saudi Arabia's own sites at AlUla, Hegra, Dadan and Al-Faw sit squarely in this space.</w:t>
      </w:r>
    </w:p>
    <w:p>
      <w:pPr>
        <w:pStyle w:val="NoSpacing"/>
      </w:pPr>
      <w:r>
        <w:rPr>
          <w:b/>
        </w:rPr>
        <w:t xml:space="preserve">Source: </w:t>
      </w:r>
      <w:hyperlink r:id="rId13">
        <w:r>
          <w:rPr>
            <w:color w:val="0000FF"/>
            <w:u w:val="single"/>
            <w:rFonts w:ascii="Times New Roman" w:hAnsi="Times New Roman"/>
          </w:rPr>
          <w:t xml:space="preserve">Archaeology Magazine</w:t>
        </w:r>
      </w:hyperlink>
    </w:p>
    <w:p>
      <w:pPr>
        <w:pStyle w:val="NoSpacing"/>
      </w:pPr>
      <w:r>
        <w:rPr>
          <w:b/>
        </w:rPr>
        <w:t xml:space="preserve">Consideration: </w:t>
      </w:r>
      <w:r>
        <w:t>Continue to time the proactive placement of Saudi archaeological-discovery stories to ride this sustained interest, connecting individual finds to the national heritage narrative rather than releasing them in isolation.</w:t>
      </w:r>
    </w:p>
    <w:p>
      <w:pPr>
        <w:pStyle w:val="NoSpacing"/>
      </w:pPr>
    </w:p>
    <w:p>
      <w:pPr>
        <w:pStyle w:val="NoSpacing"/>
      </w:pPr>
      <w:r>
        <w:rPr>
          <w:b/>
          <w:color w:val="000000"/>
        </w:rPr>
        <w:t>2. A shifting global art-institution landscape favours better-resourced Gulf building</w:t>
      </w:r>
    </w:p>
    <w:p>
      <w:pPr>
        <w:pStyle w:val="NoSpacing"/>
      </w:pPr>
      <w:r>
        <w:t>This cycle brought the closure of a five-decade-old US photography institution, a major $450m consignment moving to auction, and a senior curatorial appointment that draws directly on Gulf experience — evidence of Western institutions under strain and of talent and market activity flowing towards better-resourced players. The Kingdom's sustained investment in museums, biennials and the visual-arts sector positions it well within this shift.</w:t>
      </w:r>
    </w:p>
    <w:p>
      <w:pPr>
        <w:pStyle w:val="NoSpacing"/>
      </w:pPr>
      <w:r>
        <w:rPr>
          <w:b/>
        </w:rPr>
        <w:t xml:space="preserve">Source: </w:t>
      </w:r>
      <w:hyperlink r:id="rId15">
        <w:r>
          <w:rPr>
            <w:color w:val="0000FF"/>
            <w:u w:val="single"/>
            <w:rFonts w:ascii="Times New Roman" w:hAnsi="Times New Roman"/>
          </w:rPr>
          <w:t xml:space="preserve">ARTnews</w:t>
        </w:r>
      </w:hyperlink>
      <w:r>
        <w:rPr>
          <w:b w:val="0"/>
        </w:rPr>
        <w:t xml:space="preserve">, </w:t>
      </w:r>
      <w:hyperlink r:id="rId16">
        <w:r>
          <w:rPr>
            <w:color w:val="0000FF"/>
            <w:u w:val="single"/>
            <w:rFonts w:ascii="Times New Roman" w:hAnsi="Times New Roman"/>
          </w:rPr>
          <w:t xml:space="preserve">ARTnews</w:t>
        </w:r>
      </w:hyperlink>
      <w:r>
        <w:rPr>
          <w:b w:val="0"/>
        </w:rPr>
        <w:t xml:space="preserve">, </w:t>
      </w:r>
      <w:hyperlink r:id="rId14">
        <w:r>
          <w:rPr>
            <w:color w:val="0000FF"/>
            <w:u w:val="single"/>
            <w:rFonts w:ascii="Times New Roman" w:hAnsi="Times New Roman"/>
          </w:rPr>
          <w:t xml:space="preserve">ARTnews</w:t>
        </w:r>
      </w:hyperlink>
    </w:p>
    <w:p>
      <w:pPr>
        <w:pStyle w:val="NoSpacing"/>
      </w:pPr>
      <w:r>
        <w:rPr>
          <w:b/>
        </w:rPr>
        <w:t xml:space="preserve">Consideration: </w:t>
      </w:r>
      <w:r>
        <w:t>Position Saudi museum and visual-arts investment within this global conversation, and use the exchange of senior curatorial talent into the Gulf to strengthen the Kingdom's own institution-building narrative.</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dw.com/en/gulf-states-scramble-for-strait-of-hormuz-alternative/a-78336679" TargetMode="External"/><Relationship Id="rId10" Type="http://schemas.openxmlformats.org/officeDocument/2006/relationships/hyperlink" Target="https://www.bloomberg.com/news/articles/2026-08-12/oil-tanker-seen-loading-at-key-saudi-hub-for-first-time-in-weeks" TargetMode="External"/><Relationship Id="rId11" Type="http://schemas.openxmlformats.org/officeDocument/2006/relationships/hyperlink" Target="https://www.semafor.com/article/08/12/2026/saudi-education-reforms-commended-by-israeli-textbook-watchdog" TargetMode="External"/><Relationship Id="rId12" Type="http://schemas.openxmlformats.org/officeDocument/2006/relationships/hyperlink" Target="https://www.middleeasteye.net/live-blog/live-blog-update/saudi-arabia-opposed-egypts-inclusion-mecca-agreement-sources-say" TargetMode="External"/><Relationship Id="rId13" Type="http://schemas.openxmlformats.org/officeDocument/2006/relationships/hyperlink" Target="https://archaeology.org/news/2026/08/12/nile-delta-necropolis-used-for-thousands-of-years/" TargetMode="External"/><Relationship Id="rId14" Type="http://schemas.openxmlformats.org/officeDocument/2006/relationships/hyperlink" Target="https://www.artnews.com/art-news/news/zeitz-mocaa-elvira-dyangani-ose-artistic-director-1234794757/" TargetMode="External"/><Relationship Id="rId15" Type="http://schemas.openxmlformats.org/officeDocument/2006/relationships/hyperlink" Target="https://www.artnews.com/art-news/news/sf-camerawork-close-rising-costs-dwindling-public-funding-1234794668/" TargetMode="External"/><Relationship Id="rId16" Type="http://schemas.openxmlformats.org/officeDocument/2006/relationships/hyperlink" Target="https://www.artnews.com/art-news/news/sothebys-blaquier-450-million-art-collection-12347947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