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21 July 2026</w:t>
      </w:r>
    </w:p>
    <w:p>
      <w:pPr>
        <w:pStyle w:val="NoSpacing"/>
      </w:pPr>
    </w:p>
    <w:p>
      <w:pPr>
        <w:pStyle w:val="NoSpacing"/>
      </w:pPr>
      <w:r>
        <w:rPr>
          <w:b/>
          <w:color w:val="4A86E8"/>
        </w:rPr>
        <w:t>Saudi Arabia/Regional</w:t>
      </w:r>
    </w:p>
    <w:p>
      <w:pPr>
        <w:pStyle w:val="ListBullet"/>
      </w:pPr>
      <w:r>
        <w:t>Yemen's Houthis declare naval blockade on Saudi Arabia</w:t>
      </w:r>
    </w:p>
    <w:p>
      <w:pPr>
        <w:pStyle w:val="ListBullet"/>
      </w:pPr>
      <w:r>
        <w:t>Saudi-Led Coalition in Yemen Vows to Protect Ships From Houthis</w:t>
      </w:r>
    </w:p>
    <w:p>
      <w:pPr>
        <w:pStyle w:val="ListBullet"/>
      </w:pPr>
      <w:r>
        <w:t>Yemen's Houthis threaten Bab el-Mandeb closure in embargo on Saudi Arabia</w:t>
      </w:r>
    </w:p>
    <w:p>
      <w:pPr>
        <w:pStyle w:val="NoSpacing"/>
      </w:pPr>
    </w:p>
    <w:p>
      <w:pPr>
        <w:pStyle w:val="NoSpacing"/>
      </w:pPr>
      <w:r>
        <w:rPr>
          <w:b/>
          <w:color w:val="EE0000"/>
        </w:rPr>
        <w:t>Negative Articles</w:t>
      </w:r>
    </w:p>
    <w:p>
      <w:pPr>
        <w:pStyle w:val="ListBullet"/>
      </w:pPr>
      <w:r>
        <w:t>Yemen's Houthis declare naval blockade of Saudi Arabia: What to know</w:t>
      </w:r>
    </w:p>
    <w:p>
      <w:pPr>
        <w:pStyle w:val="NoSpacing"/>
      </w:pPr>
    </w:p>
    <w:p>
      <w:pPr>
        <w:pStyle w:val="NoSpacing"/>
      </w:pPr>
      <w:r>
        <w:rPr>
          <w:b/>
          <w:color w:val="4A86E8"/>
        </w:rPr>
        <w:t>Global</w:t>
      </w:r>
    </w:p>
    <w:p>
      <w:pPr>
        <w:pStyle w:val="ListBullet"/>
      </w:pPr>
      <w:r>
        <w:t>New Kingdom tombs discovered at Saqqara provide new evidence of connections with Near East</w:t>
      </w:r>
    </w:p>
    <w:p>
      <w:pPr>
        <w:pStyle w:val="ListBullet"/>
      </w:pPr>
      <w:r>
        <w:t>New study reveals how Cypriot goldsmiths united four ancient cultures</w:t>
      </w:r>
    </w:p>
    <w:p>
      <w:pPr>
        <w:pStyle w:val="ListBullet"/>
      </w:pPr>
      <w:r>
        <w:t>Activists Sue to Stop Frida Kahlo Works From Leaving Mexico</w:t>
      </w:r>
    </w:p>
    <w:p>
      <w:pPr>
        <w:pStyle w:val="ListBullet"/>
      </w:pPr>
      <w:r>
        <w:t>Cuban Artist Luis Manuel Otero Alcántara Exiled to the US</w:t>
      </w:r>
    </w:p>
    <w:p>
      <w:pPr>
        <w:pStyle w:val="ListBullet"/>
      </w:pPr>
      <w:r>
        <w:t>Shanghai Auction Executives Sentenced in Major Fraud Case as Industry Scrutiny Intensifies</w:t>
      </w:r>
    </w:p>
    <w:p>
      <w:pPr>
        <w:pStyle w:val="ListBullet"/>
      </w:pPr>
      <w:r>
        <w:t>New Museum's Shiny New Building Leaks During Flash Floods</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Yemen's Iran-aligned Houthis announced a maritime embargo on Saudi Arabia on 20 July, warning that a closure of the Bab el-Mandeb strait could remove roughly 7 per cent of global oil supply on top of disruption already caused by the wider US-Iran conflict. The move places a significant share of the Kingdom's crude exports at risk and injects fresh regional-security uncertainty into a period of ambitious cultural and tourism expansion along the Red Sea coast. (</w:t>
      </w:r>
      <w:hyperlink r:id="rId9">
        <w:r>
          <w:rPr>
            <w:color w:val="0000FF"/>
            <w:u w:val="single"/>
            <w:rFonts w:ascii="Times New Roman" w:hAnsi="Times New Roman"/>
          </w:rPr>
          <w:t xml:space="preserve">Nikkei Asia</w:t>
        </w:r>
      </w:hyperlink>
      <w:r>
        <w:rPr>
          <w:b w:val="0"/>
        </w:rPr>
        <w:t>)</w:t>
      </w:r>
    </w:p>
    <w:p>
      <w:pPr>
        <w:pStyle w:val="ListBullet"/>
      </w:pPr>
      <w:r>
        <w:rPr>
          <w:b w:val="0"/>
        </w:rPr>
        <w:t>The Saudi-led coalition in Yemen responded that it would act to protect commercial shipping after the Houthis vowed to impose a maritime blockade threatening the flow of millions of barrels of oil. The rapid, security-focused response underlines how far the current escalation sits from the Kingdom's outward cultural and investment messaging, and the care needed to keep the two narratives separate. (</w:t>
      </w:r>
      <w:hyperlink r:id="rId10">
        <w:r>
          <w:rPr>
            <w:color w:val="0000FF"/>
            <w:u w:val="single"/>
            <w:rFonts w:ascii="Times New Roman" w:hAnsi="Times New Roman"/>
          </w:rPr>
          <w:t xml:space="preserve">Bloomberg</w:t>
        </w:r>
      </w:hyperlink>
      <w:r>
        <w:rPr>
          <w:b w:val="0"/>
        </w:rPr>
        <w:t>)</w:t>
      </w:r>
    </w:p>
    <w:p>
      <w:pPr>
        <w:pStyle w:val="ListBullet"/>
      </w:pPr>
      <w:r>
        <w:rPr>
          <w:b w:val="0"/>
        </w:rPr>
        <w:t>Coverage stressed that the Houthi threat to close the Bab el-Mandeb strait — one of the world's narrowest and busiest shipping chokepoints — could disrupt a large share of the trade transiting between the Red Sea and the Gulf of Aden. For Saudi Arabia the exposure is both economic and reputational, given the strait's proximity to tourism and heritage destinations the Kingdom is actively promoting to international visitors. (</w:t>
      </w:r>
      <w:hyperlink r:id="rId11">
        <w:r>
          <w:rPr>
            <w:color w:val="0000FF"/>
            <w:u w:val="single"/>
            <w:rFonts w:ascii="Times New Roman" w:hAnsi="Times New Roman"/>
          </w:rPr>
          <w:t xml:space="preserve">Euronews</w:t>
        </w:r>
      </w:hyperlink>
      <w:r>
        <w:rPr>
          <w:b w:val="0"/>
        </w:rPr>
        <w:t>)</w:t>
      </w:r>
    </w:p>
    <w:p>
      <w:pPr>
        <w:pStyle w:val="NoSpacing"/>
      </w:pPr>
    </w:p>
    <w:p>
      <w:pPr>
        <w:pStyle w:val="NoSpacing"/>
      </w:pPr>
      <w:r>
        <w:rPr>
          <w:b/>
          <w:color w:val="EE0000"/>
        </w:rPr>
        <w:t>Negative Articles</w:t>
      </w:r>
    </w:p>
    <w:p>
      <w:pPr>
        <w:pStyle w:val="ListBullet"/>
      </w:pPr>
      <w:r>
        <w:rPr>
          <w:b w:val="0"/>
        </w:rPr>
        <w:t>An explainer from Qatari state-funded Al Jazeera framed the blockade around the Houthi narrative that Saudi Arabia has imposed a twelve-year "oppressive siege" on Yemen, "plundering our resources" and blockading its ports by land, sea and air. The framing positions the Kingdom as aggressor rather than target, and its prominence in a major pan-Arab outlet is the kind of adversarial narrative that can attach itself to otherwise unrelated cultural and tourism coverage if left unanswered in the wider information space. (</w:t>
      </w:r>
      <w:hyperlink r:id="rId12">
        <w:r>
          <w:rPr>
            <w:color w:val="0000FF"/>
            <w:u w:val="single"/>
            <w:rFonts w:ascii="Times New Roman" w:hAnsi="Times New Roman"/>
          </w:rPr>
          <w:t xml:space="preserve">Al Jazeera</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An Egyptian mission uncovered three rock-cut 18th-Dynasty elite tombs at Saqqara's Bubasteion, including that of Paremwia, "Chief Merchant of the House of Ptah", with an inscription referencing a commander's return from Naharin in northern Syria. The find adds fresh evidence of Egypt's diplomatic and military ties to the ancient Near East, and reflects the continued global appetite for discoveries that situate the region's heritage within a wider story of cross-cultural exchange. (</w:t>
      </w:r>
      <w:hyperlink r:id="rId13">
        <w:r>
          <w:rPr>
            <w:color w:val="0000FF"/>
            <w:u w:val="single"/>
            <w:rFonts w:ascii="Times New Roman" w:hAnsi="Times New Roman"/>
          </w:rPr>
          <w:t xml:space="preserve">HeritageDaily</w:t>
        </w:r>
      </w:hyperlink>
      <w:r>
        <w:rPr>
          <w:b w:val="0"/>
        </w:rPr>
        <w:t>)</w:t>
      </w:r>
    </w:p>
    <w:p>
      <w:pPr>
        <w:pStyle w:val="ListBullet"/>
      </w:pPr>
      <w:r>
        <w:rPr>
          <w:b w:val="0"/>
        </w:rPr>
        <w:t>A study in the Oxford Journal of Archaeology found that 3,400-year-old gold diadems and mouthpieces from tombs near Hala Sultan Tekke in Cyprus fused Egyptian, Minoan, Mycenaean and Near Eastern imagery into a distinctive local style, with materials traced as far as Afghanistan, the Baltic and India. The research is a reminder of how ancient trade routes carried artistic ideas across the eastern Mediterranean — a narrative of connection into which Saudi Arabia's own trade-route heritage sits naturally. (</w:t>
      </w:r>
      <w:hyperlink r:id="rId14">
        <w:r>
          <w:rPr>
            <w:color w:val="0000FF"/>
            <w:u w:val="single"/>
            <w:rFonts w:ascii="Times New Roman" w:hAnsi="Times New Roman"/>
          </w:rPr>
          <w:t xml:space="preserve">HeritageDaily</w:t>
        </w:r>
      </w:hyperlink>
      <w:r>
        <w:rPr>
          <w:b w:val="0"/>
        </w:rPr>
        <w:t>)</w:t>
      </w:r>
    </w:p>
    <w:p>
      <w:pPr>
        <w:pStyle w:val="NoSpacing"/>
      </w:pPr>
      <w:r>
        <w:rPr>
          <w:b/>
          <w:color w:val="000000"/>
        </w:rPr>
        <w:t>Visual Arts:</w:t>
      </w:r>
    </w:p>
    <w:p>
      <w:pPr>
        <w:pStyle w:val="ListBullet"/>
      </w:pPr>
      <w:r>
        <w:rPr>
          <w:b w:val="0"/>
        </w:rPr>
        <w:t>A Mexican advocacy group filed three lawsuits against the national cultural authority to challenge export permits for 161 artworks, including Frida Kahlo pieces designated as protected national heritage, ahead of a planned multi-year international tour. The case highlights the intensifying global scrutiny of cultural-property protection and the tension between international touring and national-heritage safeguards that any expanding art nation must navigate. (</w:t>
      </w:r>
      <w:hyperlink r:id="rId15">
        <w:r>
          <w:rPr>
            <w:color w:val="0000FF"/>
            <w:u w:val="single"/>
            <w:rFonts w:ascii="Times New Roman" w:hAnsi="Times New Roman"/>
          </w:rPr>
          <w:t xml:space="preserve">Hyperallergic</w:t>
        </w:r>
      </w:hyperlink>
      <w:r>
        <w:rPr>
          <w:b w:val="0"/>
        </w:rPr>
        <w:t>)</w:t>
      </w:r>
    </w:p>
    <w:p>
      <w:pPr>
        <w:pStyle w:val="ListBullet"/>
      </w:pPr>
      <w:r>
        <w:rPr>
          <w:b w:val="0"/>
        </w:rPr>
        <w:t>Dissident Cuban performance artist Luis Manuel Otero Alcántara, a co-founder of the San Isidro Movement, arrived in Miami after serving a five-year prison sentence in Cuba and accepting exile through humanitarian parole. The case keeps international attention on the relationship between artistic expression and state control, a theme that shapes how global audiences read cultural-freedom questions across all emerging art scenes. (</w:t>
      </w:r>
      <w:hyperlink r:id="rId16">
        <w:r>
          <w:rPr>
            <w:color w:val="0000FF"/>
            <w:u w:val="single"/>
            <w:rFonts w:ascii="Times New Roman" w:hAnsi="Times New Roman"/>
          </w:rPr>
          <w:t xml:space="preserve">Hyperallergic</w:t>
        </w:r>
      </w:hyperlink>
      <w:r>
        <w:rPr>
          <w:b w:val="0"/>
        </w:rPr>
        <w:t>)</w:t>
      </w:r>
    </w:p>
    <w:p>
      <w:pPr>
        <w:pStyle w:val="ListBullet"/>
      </w:pPr>
      <w:r>
        <w:rPr>
          <w:b w:val="0"/>
        </w:rPr>
        <w:t>Two former managers of Shanghai Jiahe Auction were sentenced to more than a decade in prison each over a scheme that induced a collector to spend around 500 million yuan on forgeries and grossly overpriced objects, using shills to inflate bids. The sentencing signals a firmer regulatory line on art-market integrity in Asia and underlines why credible provenance and transparent bidding are becoming reputational essentials for any growing market. (</w:t>
      </w:r>
      <w:hyperlink r:id="rId17">
        <w:r>
          <w:rPr>
            <w:color w:val="0000FF"/>
            <w:u w:val="single"/>
            <w:rFonts w:ascii="Times New Roman" w:hAnsi="Times New Roman"/>
          </w:rPr>
          <w:t xml:space="preserve">ARTnews</w:t>
        </w:r>
      </w:hyperlink>
      <w:r>
        <w:rPr>
          <w:b w:val="0"/>
        </w:rPr>
        <w:t>)</w:t>
      </w:r>
    </w:p>
    <w:p>
      <w:pPr>
        <w:pStyle w:val="NoSpacing"/>
      </w:pPr>
      <w:r>
        <w:rPr>
          <w:b/>
          <w:color w:val="000000"/>
        </w:rPr>
        <w:t>Museums:</w:t>
      </w:r>
    </w:p>
    <w:p>
      <w:pPr>
        <w:pStyle w:val="ListBullet"/>
      </w:pPr>
      <w:r>
        <w:rPr>
          <w:b w:val="0"/>
        </w:rPr>
        <w:t>The newly completed, OMA-designed extension of New York's New Museum suffered water ingress during flash flooding, raising questions about the building's envelope only shortly after opening. The episode is a cautionary note for the wave of high-profile new museum architecture worldwide, where signature design ambition and long-term resilience have to be reconciled. (</w:t>
      </w:r>
      <w:hyperlink r:id="rId18">
        <w:r>
          <w:rPr>
            <w:color w:val="0000FF"/>
            <w:u w:val="single"/>
            <w:rFonts w:ascii="Times New Roman" w:hAnsi="Times New Roman"/>
          </w:rPr>
          <w:t xml:space="preserve">Hyperallergic</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Maritime blockade threatens regional stability and visitor confidence</w:t>
      </w:r>
    </w:p>
    <w:p>
      <w:pPr>
        <w:pStyle w:val="NoSpacing"/>
      </w:pPr>
      <w:r>
        <w:t>Yemen's Houthis declared a maritime blockade on Saudi Arabia on 20 July, threatening shipping through the Bab el-Mandeb strait and a substantial share of the Kingdom's oil exports, with the Saudi-led coalition responding that it will protect vessels. Beyond the immediate energy-market and security implications, a sustained escalation risks colouring international perceptions of regional safety at the very moment the Kingdom is inviting global visitors to cultural and heritage destinations such as AlUla and the Red Sea coast.</w:t>
      </w:r>
    </w:p>
    <w:p>
      <w:pPr>
        <w:pStyle w:val="NoSpacing"/>
      </w:pPr>
      <w:r>
        <w:rPr>
          <w:b/>
        </w:rPr>
        <w:t xml:space="preserve">Source: </w:t>
      </w:r>
      <w:hyperlink r:id="rId9">
        <w:r>
          <w:rPr>
            <w:color w:val="0000FF"/>
            <w:u w:val="single"/>
            <w:rFonts w:ascii="Times New Roman" w:hAnsi="Times New Roman"/>
          </w:rPr>
          <w:t xml:space="preserve">Nikkei Asia</w:t>
        </w:r>
      </w:hyperlink>
      <w:r>
        <w:rPr>
          <w:b w:val="0"/>
        </w:rPr>
        <w:t xml:space="preserve">, </w:t>
      </w:r>
      <w:hyperlink r:id="rId10">
        <w:r>
          <w:rPr>
            <w:color w:val="0000FF"/>
            <w:u w:val="single"/>
            <w:rFonts w:ascii="Times New Roman" w:hAnsi="Times New Roman"/>
          </w:rPr>
          <w:t xml:space="preserve">Bloomberg</w:t>
        </w:r>
      </w:hyperlink>
    </w:p>
    <w:p>
      <w:pPr>
        <w:pStyle w:val="NoSpacing"/>
      </w:pPr>
      <w:r>
        <w:rPr>
          <w:b/>
        </w:rPr>
        <w:t xml:space="preserve">Consideration: </w:t>
      </w:r>
      <w:r>
        <w:t>Keep the Ministry's cultural and tourism messaging clearly distinct from the security narrative, foregrounding the safety, professionalism and international participation underpinning flagship cultural programmes rather than engaging the conflict framing directly.</w:t>
      </w:r>
    </w:p>
    <w:p>
      <w:pPr>
        <w:pStyle w:val="NoSpacing"/>
      </w:pPr>
    </w:p>
    <w:p>
      <w:pPr>
        <w:pStyle w:val="NoSpacing"/>
      </w:pPr>
      <w:r>
        <w:rPr>
          <w:b/>
          <w:color w:val="000000"/>
        </w:rPr>
        <w:t>2. Adversarial framing casts the Kingdom as aggressor</w:t>
      </w:r>
    </w:p>
    <w:p>
      <w:pPr>
        <w:pStyle w:val="NoSpacing"/>
      </w:pPr>
      <w:r>
        <w:t>Coverage of the blockade — most pointedly from Qatari state-funded Al Jazeera — foregrounds the Houthi narrative that Saudi Arabia has imposed a twelve-year "oppressive siege" on Yemen, an adversarial framing that competes directly with the Kingdom's cultural soft-power messaging. Narratives of this kind, carried by major pan-Arab outlets, can attach to unrelated cultural and tourism stories if they go unanswered in the information space.</w:t>
      </w:r>
    </w:p>
    <w:p>
      <w:pPr>
        <w:pStyle w:val="NoSpacing"/>
      </w:pPr>
      <w:r>
        <w:rPr>
          <w:b/>
        </w:rPr>
        <w:t xml:space="preserve">Source: </w:t>
      </w:r>
      <w:hyperlink r:id="rId12">
        <w:r>
          <w:rPr>
            <w:color w:val="0000FF"/>
            <w:u w:val="single"/>
            <w:rFonts w:ascii="Times New Roman" w:hAnsi="Times New Roman"/>
          </w:rPr>
          <w:t xml:space="preserve">Al Jazeera</w:t>
        </w:r>
      </w:hyperlink>
    </w:p>
    <w:p>
      <w:pPr>
        <w:pStyle w:val="NoSpacing"/>
      </w:pPr>
      <w:r>
        <w:rPr>
          <w:b/>
        </w:rPr>
        <w:t xml:space="preserve">Consideration: </w:t>
      </w:r>
      <w:r>
        <w:t>Continue to build positive, verifiable cultural narratives — public access, Saudi talent, heritage stewardship and genuine international exchange — that give journalists and audiences a counterweight, without directly rebutting the security polemic through cultural channels.</w:t>
      </w:r>
    </w:p>
    <w:p>
      <w:pPr>
        <w:pStyle w:val="NoSpacing"/>
      </w:pPr>
    </w:p>
    <w:p>
      <w:pPr>
        <w:pStyle w:val="NoSpacing"/>
      </w:pPr>
      <w:r>
        <w:rPr>
          <w:b/>
          <w:color w:val="A66500"/>
        </w:rPr>
        <w:t>Opportunities</w:t>
      </w:r>
    </w:p>
    <w:p>
      <w:pPr>
        <w:pStyle w:val="NoSpacing"/>
      </w:pPr>
      <w:r>
        <w:rPr>
          <w:b/>
          <w:color w:val="000000"/>
        </w:rPr>
        <w:t>1. Global appetite for ancient-heritage discovery supports the Kingdom's archaeology narrative</w:t>
      </w:r>
    </w:p>
    <w:p>
      <w:pPr>
        <w:pStyle w:val="NoSpacing"/>
      </w:pPr>
      <w:r>
        <w:t>Two widely covered archaeological stories in the past day — the discovery of New Kingdom elite tombs at Saqqara and a study showing how Cypriot goldsmiths fused Egyptian, Minoan, Mycenaean and Near Eastern styles — underline the sustained global interest in the ancient cultures of the wider region and their connections along historic trade routes. Saudi Arabia's own heritage assets, from Hegra and Dadan to the recently inscribed Al-Faw, belong to precisely this narrative of cross-cultural connection.</w:t>
      </w:r>
    </w:p>
    <w:p>
      <w:pPr>
        <w:pStyle w:val="NoSpacing"/>
      </w:pPr>
      <w:r>
        <w:rPr>
          <w:b/>
        </w:rPr>
        <w:t xml:space="preserve">Source: </w:t>
      </w:r>
      <w:hyperlink r:id="rId13">
        <w:r>
          <w:rPr>
            <w:color w:val="0000FF"/>
            <w:u w:val="single"/>
            <w:rFonts w:ascii="Times New Roman" w:hAnsi="Times New Roman"/>
          </w:rPr>
          <w:t xml:space="preserve">HeritageDaily</w:t>
        </w:r>
      </w:hyperlink>
      <w:r>
        <w:rPr>
          <w:b w:val="0"/>
        </w:rPr>
        <w:t xml:space="preserve">, </w:t>
      </w:r>
      <w:hyperlink r:id="rId14">
        <w:r>
          <w:rPr>
            <w:color w:val="0000FF"/>
            <w:u w:val="single"/>
            <w:rFonts w:ascii="Times New Roman" w:hAnsi="Times New Roman"/>
          </w:rPr>
          <w:t xml:space="preserve">HeritageDaily</w:t>
        </w:r>
      </w:hyperlink>
    </w:p>
    <w:p>
      <w:pPr>
        <w:pStyle w:val="NoSpacing"/>
      </w:pPr>
      <w:r>
        <w:rPr>
          <w:b/>
        </w:rPr>
        <w:t xml:space="preserve">Consideration: </w:t>
      </w:r>
      <w:r>
        <w:t>The Heritage Commission could align announcements of Saudi archaeological research and site discoveries with global heritage news cycles, positioning the Kingdom's sites within the broader story of ancient Near Eastern and Mediterranean exchange rather than presenting them as isolated national assets.</w:t>
      </w:r>
    </w:p>
    <w:p>
      <w:pPr>
        <w:pStyle w:val="NoSpacing"/>
      </w:pPr>
    </w:p>
    <w:p>
      <w:pPr>
        <w:pStyle w:val="NoSpacing"/>
      </w:pPr>
      <w:r>
        <w:rPr>
          <w:b/>
          <w:color w:val="000000"/>
        </w:rPr>
        <w:t>2. International focus on provenance and market integrity favours a differentiated Saudi art market</w:t>
      </w:r>
    </w:p>
    <w:p>
      <w:pPr>
        <w:pStyle w:val="NoSpacing"/>
      </w:pPr>
      <w:r>
        <w:t>A lawsuit seeking to block the export of Frida Kahlo works designated as national heritage, and the sentencing of Shanghai auction executives in a major forgery and inflated-bidding fraud, both reflect intensifying global scrutiny of cultural-property protection and art-market integrity. As Saudi Arabia expands its museums and contemporary-art sector, credible standards in these areas are becoming a genuine point of competitive differentiation.</w:t>
      </w:r>
    </w:p>
    <w:p>
      <w:pPr>
        <w:pStyle w:val="NoSpacing"/>
      </w:pPr>
      <w:r>
        <w:rPr>
          <w:b/>
        </w:rPr>
        <w:t xml:space="preserve">Source: </w:t>
      </w:r>
      <w:hyperlink r:id="rId15">
        <w:r>
          <w:rPr>
            <w:color w:val="0000FF"/>
            <w:u w:val="single"/>
            <w:rFonts w:ascii="Times New Roman" w:hAnsi="Times New Roman"/>
          </w:rPr>
          <w:t xml:space="preserve">Hyperallergic</w:t>
        </w:r>
      </w:hyperlink>
      <w:r>
        <w:rPr>
          <w:b w:val="0"/>
        </w:rPr>
        <w:t xml:space="preserve">, </w:t>
      </w:r>
      <w:hyperlink r:id="rId17">
        <w:r>
          <w:rPr>
            <w:color w:val="0000FF"/>
            <w:u w:val="single"/>
            <w:rFonts w:ascii="Times New Roman" w:hAnsi="Times New Roman"/>
          </w:rPr>
          <w:t xml:space="preserve">ARTnews</w:t>
        </w:r>
      </w:hyperlink>
    </w:p>
    <w:p>
      <w:pPr>
        <w:pStyle w:val="NoSpacing"/>
      </w:pPr>
      <w:r>
        <w:rPr>
          <w:b/>
        </w:rPr>
        <w:t xml:space="preserve">Consideration: </w:t>
      </w:r>
      <w:r>
        <w:t>The Ministry, with its Visual Arts and Museums Commissions, can foreground rigorous provenance, transparent acquisition practices and strong cultural-property stewardship as the Kingdom builds its art-market and museum reputation, connecting these into a single institutional-credibility narrative rather than treating them as isolated compliance matters.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sia.nikkei.com/spotlight/iran-tensions/iran-war/yemen-s-houthis-declare-naval-blockade-on-saudi-arabia" TargetMode="External"/><Relationship Id="rId10" Type="http://schemas.openxmlformats.org/officeDocument/2006/relationships/hyperlink" Target="https://www.bloomberg.com/news/articles/2026-07-20/yemen-s-houthis-vow-to-impose-maritime-blockade-on-saudi-arabia" TargetMode="External"/><Relationship Id="rId11" Type="http://schemas.openxmlformats.org/officeDocument/2006/relationships/hyperlink" Target="https://www.euronews.com/2026/07/20/yemens-houthis-threaten-bab-el-mandeb-closure-in-embargo-on-saudi-arabia" TargetMode="External"/><Relationship Id="rId12" Type="http://schemas.openxmlformats.org/officeDocument/2006/relationships/hyperlink" Target="https://www.aljazeera.com/news/2026/7/20/yemens-houthis-declare-naval-blockade-of-saudi-arabia-what-to-know" TargetMode="External"/><Relationship Id="rId13" Type="http://schemas.openxmlformats.org/officeDocument/2006/relationships/hyperlink" Target="https://www.heritagedaily.com/2026/07/new-kingdom-tombs-discovered-at-saqqara-provide-new-evidence-of-connections-with-near-east/158655" TargetMode="External"/><Relationship Id="rId14" Type="http://schemas.openxmlformats.org/officeDocument/2006/relationships/hyperlink" Target="https://www.heritagedaily.com/2026/07/new-study-reveals-how-cypriot-goldsmiths-united-four-ancient-cultures/158659" TargetMode="External"/><Relationship Id="rId15" Type="http://schemas.openxmlformats.org/officeDocument/2006/relationships/hyperlink" Target="https://hyperallergic.com/activists-sue-to-stop-frida-kahlo-works-from-leaving-mexico/" TargetMode="External"/><Relationship Id="rId16" Type="http://schemas.openxmlformats.org/officeDocument/2006/relationships/hyperlink" Target="https://hyperallergic.com/cuban-artist-luis-manuel-otero-alcantara-exiled-to-the-us/" TargetMode="External"/><Relationship Id="rId17" Type="http://schemas.openxmlformats.org/officeDocument/2006/relationships/hyperlink" Target="https://www.artnews.com/art-news/news/shanghai-auction-executives-sentenced-in-major-fraud-case-1234792736/" TargetMode="External"/><Relationship Id="rId18" Type="http://schemas.openxmlformats.org/officeDocument/2006/relationships/hyperlink" Target="https://hyperallergic.com/new-museums-shiny-new-building-leaks-during-flash-floo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