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color w:val="4A86E8"/>
          <w:sz w:val="24"/>
        </w:rPr>
        <w:t>Headlines, 21 July 2026</w:t>
      </w:r>
    </w:p>
    <w:p>
      <w:pPr>
        <w:spacing w:before="120" w:after="60"/>
      </w:pPr>
      <w:r>
        <w:rPr>
          <w:b/>
          <w:color w:val="4A86E8"/>
          <w:sz w:val="24"/>
        </w:rPr>
        <w:t>Saudi Arabia/Regional</w:t>
      </w:r>
    </w:p>
    <w:p>
      <w:pPr>
        <w:pStyle w:val="ListBullet"/>
        <w:spacing w:after="40"/>
      </w:pPr>
      <w:r>
        <w:rPr>
          <w:sz w:val="24"/>
        </w:rPr>
        <w:t>As Houthis declare Red Sea blockade on Saudi Arabia, oil markets brace for impact</w:t>
      </w:r>
    </w:p>
    <w:p>
      <w:pPr>
        <w:pStyle w:val="ListBullet"/>
        <w:spacing w:after="40"/>
      </w:pPr>
      <w:r>
        <w:rPr>
          <w:sz w:val="24"/>
        </w:rPr>
        <w:t>Saudi Arabia's Riyadh Air Locks in Options for Boeing, Airbus Jets</w:t>
      </w:r>
    </w:p>
    <w:p>
      <w:pPr>
        <w:pStyle w:val="ListBullet"/>
        <w:spacing w:after="40"/>
      </w:pPr>
      <w:r>
        <w:rPr>
          <w:sz w:val="24"/>
        </w:rPr>
        <w:t>Saudi producers offer US defence a way around supply bottleneck</w:t>
      </w:r>
    </w:p>
    <w:p>
      <w:pPr>
        <w:spacing w:before="120" w:after="60"/>
      </w:pPr>
      <w:r>
        <w:rPr>
          <w:b/>
          <w:color w:val="4A86E8"/>
          <w:sz w:val="24"/>
        </w:rPr>
        <w:t>Negative Articles</w:t>
      </w:r>
    </w:p>
    <w:p>
      <w:pPr>
        <w:spacing w:before="120" w:after="60"/>
      </w:pPr>
      <w:r>
        <w:rPr>
          <w:b/>
          <w:color w:val="4A86E8"/>
          <w:sz w:val="24"/>
        </w:rPr>
        <w:t>Global</w:t>
      </w:r>
    </w:p>
    <w:p>
      <w:pPr>
        <w:pStyle w:val="ListBullet"/>
        <w:spacing w:after="40"/>
      </w:pPr>
      <w:r>
        <w:rPr>
          <w:sz w:val="24"/>
        </w:rPr>
        <w:t>UNESCO adopts Busan Declaration for global heritage preservation</w:t>
      </w:r>
    </w:p>
    <w:p>
      <w:pPr>
        <w:pStyle w:val="ListBullet"/>
        <w:spacing w:after="40"/>
      </w:pPr>
      <w:r>
        <w:rPr>
          <w:sz w:val="24"/>
        </w:rPr>
        <w:t>Union threatens strike action over working conditions in Venice museums due to extreme temperatures</w:t>
      </w:r>
    </w:p>
    <w:p>
      <w:pPr>
        <w:pStyle w:val="ListBullet"/>
        <w:spacing w:after="40"/>
      </w:pPr>
      <w:r>
        <w:rPr>
          <w:sz w:val="24"/>
        </w:rPr>
        <w:t>David Zwirner Exits New York's Upper East Side</w:t>
      </w:r>
    </w:p>
    <w:p>
      <w:pPr>
        <w:pStyle w:val="ListBullet"/>
        <w:spacing w:after="40"/>
      </w:pPr>
      <w:r>
        <w:rPr>
          <w:sz w:val="24"/>
        </w:rPr>
        <w:t>Toronto Film Festival Unveils First 2026 Lineups</w:t>
      </w:r>
    </w:p>
    <w:p>
      <w:pPr>
        <w:pStyle w:val="ListBullet"/>
        <w:spacing w:after="40"/>
      </w:pPr>
      <w:r>
        <w:rPr>
          <w:sz w:val="24"/>
        </w:rPr>
        <w:t>Ella Langley's 'Choosin' Texas' Makes More History With 14th Week at No. 1 on Billboard Hot 100</w:t>
      </w:r>
    </w:p>
    <w:p>
      <w:pPr>
        <w:pStyle w:val="ListBullet"/>
        <w:spacing w:after="40"/>
      </w:pPr>
      <w:r>
        <w:rPr>
          <w:sz w:val="24"/>
        </w:rPr>
        <w:t>EXCLUSIVE: Le Bon Marché and Tagwalk Founder Alexandra Van Houtte Return for Second Capsule</w:t>
      </w:r>
    </w:p>
    <w:p>
      <w:r>
        <w:br w:type="page"/>
      </w:r>
    </w:p>
    <w:p>
      <w:pPr>
        <w:spacing w:before="120" w:after="60"/>
      </w:pPr>
      <w:r>
        <w:rPr>
          <w:b/>
          <w:color w:val="4A86E8"/>
          <w:sz w:val="24"/>
        </w:rPr>
        <w:t>Saudi Arabia/Regional</w:t>
      </w:r>
    </w:p>
    <w:p>
      <w:pPr>
        <w:spacing w:before="80" w:after="20"/>
      </w:pPr>
      <w:r>
        <w:rPr>
          <w:b/>
          <w:color w:val="000000"/>
          <w:sz w:val="24"/>
        </w:rPr>
        <w:t>General (عام)</w:t>
      </w:r>
    </w:p>
    <w:p>
      <w:pPr>
        <w:pStyle w:val="ListBullet"/>
        <w:spacing w:after="40"/>
      </w:pPr>
      <w:r>
        <w:rPr>
          <w:b w:val="0"/>
        </w:rPr>
        <w:t>Yemen's Houthis have declared a naval blockade on Saudi Arabia, effective immediately, threatening the Bab el-Mandeb strait that the Kingdom has increasingly relied on to route crude from its Yanbu terminal to Asia while the Strait of Hormuz remains disrupted, with analysts warning that a full closure of the passage could remove roughly 7% of global oil supply. The immediate relevance for the Ministry is reputational rather than cultural: heightened regional insecurity can weigh on perceptions of the Kingdom as a stable host for international cultural events and visitors just as the autumn cultural calendar approaches. (</w:t>
      </w:r>
      <w:hyperlink r:id="rId9">
        <w:r>
          <w:rPr>
            <w:color w:val="0563C1"/>
            <w:u w:val="single"/>
            <w:rFonts w:ascii="Aptos" w:hAnsi="Aptos"/>
          </w:rPr>
          <w:t xml:space="preserve">Al-Monitor</w:t>
        </w:r>
      </w:hyperlink>
      <w:r>
        <w:rPr>
          <w:b w:val="0"/>
        </w:rPr>
        <w:t>)</w:t>
      </w:r>
    </w:p>
    <w:p>
      <w:pPr>
        <w:pStyle w:val="ListBullet"/>
        <w:spacing w:after="40"/>
      </w:pPr>
      <w:r>
        <w:rPr>
          <w:b w:val="0"/>
        </w:rPr>
        <w:t>Riyadh Air firmed up widebody orders at the Farnborough International Airshow, exercising options for six further Airbus A350-1000s and 28 additional Boeing 787 Dreamliners as the start-up carrier builds towards connecting the capital to more than 100 destinations by 2030. The expansion carries weight for the cultural agenda as well, since international air connectivity is the backbone of the inbound cultural tourism on which the Ministry's festivals, museums and heritage sites increasingly depend. (</w:t>
      </w:r>
      <w:hyperlink r:id="rId10">
        <w:r>
          <w:rPr>
            <w:color w:val="0563C1"/>
            <w:u w:val="single"/>
            <w:rFonts w:ascii="Aptos" w:hAnsi="Aptos"/>
          </w:rPr>
          <w:t xml:space="preserve">Bloomberg</w:t>
        </w:r>
      </w:hyperlink>
      <w:r>
        <w:rPr>
          <w:b w:val="0"/>
        </w:rPr>
        <w:t>)</w:t>
      </w:r>
    </w:p>
    <w:p>
      <w:pPr>
        <w:pStyle w:val="ListBullet"/>
        <w:spacing w:after="40"/>
      </w:pPr>
      <w:r>
        <w:rPr>
          <w:b w:val="0"/>
        </w:rPr>
        <w:t>A new Saudi-based venture fund, Masna, has secured regulatory approval for a $100 million vehicle to localise production of proven overseas defence technologies, with US and allied manufacturers reported to be seeking a Saudi manufacturing route amid tightening global supply chains. While outside the Ministry's remit, the story reinforces the wider Vision 2030 localisation narrative of building domestic capability and skills, within which the cultural sector's own talent-development and creative-industries programmes sit. (</w:t>
      </w:r>
      <w:hyperlink r:id="rId11">
        <w:r>
          <w:rPr>
            <w:color w:val="0563C1"/>
            <w:u w:val="single"/>
            <w:rFonts w:ascii="Aptos" w:hAnsi="Aptos"/>
          </w:rPr>
          <w:t xml:space="preserve">AGBI</w:t>
        </w:r>
      </w:hyperlink>
      <w:r>
        <w:rPr>
          <w:b w:val="0"/>
        </w:rPr>
        <w:t>)</w:t>
      </w:r>
    </w:p>
    <w:p>
      <w:pPr>
        <w:spacing w:before="120" w:after="60"/>
      </w:pPr>
      <w:r>
        <w:rPr>
          <w:b/>
          <w:color w:val="4A86E8"/>
          <w:sz w:val="24"/>
        </w:rPr>
        <w:t>Negative Articles</w:t>
      </w:r>
    </w:p>
    <w:p>
      <w:pPr>
        <w:spacing w:before="120" w:after="60"/>
      </w:pPr>
      <w:r>
        <w:rPr>
          <w:b/>
          <w:color w:val="4A86E8"/>
          <w:sz w:val="24"/>
        </w:rPr>
        <w:t>Global</w:t>
      </w:r>
    </w:p>
    <w:p>
      <w:pPr>
        <w:spacing w:before="80" w:after="20"/>
      </w:pPr>
      <w:r>
        <w:rPr>
          <w:b/>
          <w:color w:val="000000"/>
          <w:sz w:val="24"/>
        </w:rPr>
        <w:t>Heritage (التراث)</w:t>
      </w:r>
    </w:p>
    <w:p>
      <w:pPr>
        <w:pStyle w:val="ListBullet"/>
        <w:spacing w:after="40"/>
      </w:pPr>
      <w:r>
        <w:rPr>
          <w:b w:val="0"/>
        </w:rPr>
        <w:t>UNESCO's World Heritage Committee, meeting for its 48th session in Busan, adopted the Busan Declaration, adding "collaboration" as a sixth strategic objective and, for the first time in a global heritage accord, setting out principles for the transparent and responsible use of artificial intelligence and digital replication in heritage conservation. With Saudi Arabia now holding several inscribed World Heritage properties and investing heavily in digital documentation at sites such as AlUla, the framework offers a clear reference point the Kingdom's heritage-technology programmes can align with. (</w:t>
      </w:r>
      <w:hyperlink r:id="rId12">
        <w:r>
          <w:rPr>
            <w:color w:val="0563C1"/>
            <w:u w:val="single"/>
            <w:rFonts w:ascii="Aptos" w:hAnsi="Aptos"/>
          </w:rPr>
          <w:t xml:space="preserve">The Korea Times</w:t>
        </w:r>
      </w:hyperlink>
      <w:r>
        <w:rPr>
          <w:b w:val="0"/>
        </w:rPr>
        <w:t>)</w:t>
      </w:r>
    </w:p>
    <w:p>
      <w:pPr>
        <w:spacing w:before="80" w:after="20"/>
      </w:pPr>
      <w:r>
        <w:rPr>
          <w:b/>
          <w:color w:val="000000"/>
          <w:sz w:val="24"/>
        </w:rPr>
        <w:t>Museums (المتاحف)</w:t>
      </w:r>
    </w:p>
    <w:p>
      <w:pPr>
        <w:pStyle w:val="ListBullet"/>
        <w:spacing w:after="40"/>
      </w:pPr>
      <w:r>
        <w:rPr>
          <w:b w:val="0"/>
        </w:rPr>
        <w:t>Italy's USB union has opened a formal labour dispute across two Venetian state museum networks, warning that perceived temperatures approaching 40°C in non-air-conditioned galleries endanger both staff and the collections on display. The dispute is a pointed reminder for any institution operating heritage buildings in extreme heat, a live consideration for Gulf museums and historic sites, that climate-resilient conservation and staff welfare are becoming central to museum credibility. (</w:t>
      </w:r>
      <w:hyperlink r:id="rId13">
        <w:r>
          <w:rPr>
            <w:color w:val="0563C1"/>
            <w:u w:val="single"/>
            <w:rFonts w:ascii="Aptos" w:hAnsi="Aptos"/>
          </w:rPr>
          <w:t xml:space="preserve">The Art Newspaper</w:t>
        </w:r>
      </w:hyperlink>
      <w:r>
        <w:rPr>
          <w:b w:val="0"/>
        </w:rPr>
        <w:t>)</w:t>
      </w:r>
    </w:p>
    <w:p>
      <w:pPr>
        <w:spacing w:before="80" w:after="20"/>
      </w:pPr>
      <w:r>
        <w:rPr>
          <w:b/>
          <w:color w:val="000000"/>
          <w:sz w:val="24"/>
        </w:rPr>
        <w:t>Visual Arts (الفنون البصرية)</w:t>
      </w:r>
    </w:p>
    <w:p>
      <w:pPr>
        <w:pStyle w:val="ListBullet"/>
        <w:spacing w:after="40"/>
      </w:pPr>
      <w:r>
        <w:rPr>
          <w:b w:val="0"/>
        </w:rPr>
        <w:t>The mega-gallery David Zwirner has closed its Upper East Side space in New York, consolidating its presence in Chelsea and Tribeca and joining other blue-chip galleries in leaving the historic uptown district. The move signals a continuing reshaping of the global gallery map towards flexible, campus-style hubs, a trend worth tracking as Saudi Arabia develops its own gallery districts and creative zones. (</w:t>
      </w:r>
      <w:hyperlink r:id="rId14">
        <w:r>
          <w:rPr>
            <w:color w:val="0563C1"/>
            <w:u w:val="single"/>
            <w:rFonts w:ascii="Aptos" w:hAnsi="Aptos"/>
          </w:rPr>
          <w:t xml:space="preserve">Artforum</w:t>
        </w:r>
      </w:hyperlink>
      <w:r>
        <w:rPr>
          <w:b w:val="0"/>
        </w:rPr>
        <w:t>)</w:t>
      </w:r>
    </w:p>
    <w:p>
      <w:pPr>
        <w:spacing w:before="80" w:after="20"/>
      </w:pPr>
      <w:r>
        <w:rPr>
          <w:b/>
          <w:color w:val="000000"/>
          <w:sz w:val="24"/>
        </w:rPr>
        <w:t>Film (الأفلام)</w:t>
      </w:r>
    </w:p>
    <w:p>
      <w:pPr>
        <w:pStyle w:val="ListBullet"/>
        <w:spacing w:after="40"/>
      </w:pPr>
      <w:r>
        <w:rPr>
          <w:b w:val="0"/>
        </w:rPr>
        <w:t>The Toronto International Film Festival unveiled the first titles of its 2026 edition, revealing 64 films across its Gala and Special Presentations strands, including new work from Pedro Almodóvar and Danny Boyle, ahead of its September run. As Saudi Arabia builds its own festival calendar around the Red Sea International Film Festival, the scale and reach of TIFF's programme offer a useful benchmark for the Kingdom's ambitions in international film. (</w:t>
      </w:r>
      <w:hyperlink r:id="rId15">
        <w:r>
          <w:rPr>
            <w:color w:val="0563C1"/>
            <w:u w:val="single"/>
            <w:rFonts w:ascii="Aptos" w:hAnsi="Aptos"/>
          </w:rPr>
          <w:t xml:space="preserve">Deadline</w:t>
        </w:r>
      </w:hyperlink>
      <w:r>
        <w:rPr>
          <w:b w:val="0"/>
        </w:rPr>
        <w:t>)</w:t>
      </w:r>
    </w:p>
    <w:p>
      <w:pPr>
        <w:spacing w:before="80" w:after="20"/>
      </w:pPr>
      <w:r>
        <w:rPr>
          <w:b/>
          <w:color w:val="000000"/>
          <w:sz w:val="24"/>
        </w:rPr>
        <w:t>Music (الموسيقى)</w:t>
      </w:r>
    </w:p>
    <w:p>
      <w:pPr>
        <w:pStyle w:val="ListBullet"/>
        <w:spacing w:after="40"/>
      </w:pPr>
      <w:r>
        <w:rPr>
          <w:b w:val="0"/>
        </w:rPr>
        <w:t>The US country artist Ella Langley's "Choosin' Texas" logged a 14th week atop the Billboard Hot 100, tying long-standing records held by Mariah Carey and Whitney Houston for female solo acts. Beyond the chart milestone, the sustained run is a useful data point on which international genres command durable mainstream audiences, relevant to programmers shaping the Kingdom's live-music and festival offering. (</w:t>
      </w:r>
      <w:hyperlink r:id="rId16">
        <w:r>
          <w:rPr>
            <w:color w:val="0563C1"/>
            <w:u w:val="single"/>
            <w:rFonts w:ascii="Aptos" w:hAnsi="Aptos"/>
          </w:rPr>
          <w:t xml:space="preserve">Billboard</w:t>
        </w:r>
      </w:hyperlink>
      <w:r>
        <w:rPr>
          <w:b w:val="0"/>
        </w:rPr>
        <w:t>)</w:t>
      </w:r>
    </w:p>
    <w:p>
      <w:pPr>
        <w:spacing w:before="80" w:after="20"/>
      </w:pPr>
      <w:r>
        <w:rPr>
          <w:b/>
          <w:color w:val="000000"/>
          <w:sz w:val="24"/>
        </w:rPr>
        <w:t>Fashion (الأزياء)</w:t>
      </w:r>
    </w:p>
    <w:p>
      <w:pPr>
        <w:pStyle w:val="ListBullet"/>
        <w:spacing w:after="40"/>
      </w:pPr>
      <w:r>
        <w:rPr>
          <w:b w:val="0"/>
        </w:rPr>
        <w:t>The Paris department store Le Bon Marché has reunited with Tagwalk founder Alexandra Van Houtte for a second capsule collection, a 20-piece autumn line under its Maison Rive Gauche label using LVMH deadstock fabrics sourced through Nona Source. The collaboration reflects how heritage retailers are pairing with digital-native fashion entrepreneurs and responsible sourcing, a model relevant to the Fashion Commission's work nurturing Saudi design talent and sustainable production. (</w:t>
      </w:r>
      <w:hyperlink r:id="rId17">
        <w:r>
          <w:rPr>
            <w:color w:val="0563C1"/>
            <w:u w:val="single"/>
            <w:rFonts w:ascii="Aptos" w:hAnsi="Aptos"/>
          </w:rPr>
          <w:t xml:space="preserve">WWD</w:t>
        </w:r>
      </w:hyperlink>
      <w:r>
        <w:rPr>
          <w:b w:val="0"/>
        </w:rPr>
        <w:t>)</w:t>
      </w:r>
    </w:p>
    <w:p>
      <w:r>
        <w:br w:type="page"/>
      </w:r>
    </w:p>
    <w:p>
      <w:pPr>
        <w:spacing w:before="120" w:after="60"/>
      </w:pPr>
      <w:r>
        <w:rPr>
          <w:b/>
          <w:color w:val="4A86E8"/>
          <w:sz w:val="24"/>
        </w:rPr>
        <w:t>Risks and Opportunities</w:t>
      </w:r>
    </w:p>
    <w:p>
      <w:pPr>
        <w:spacing w:before="80" w:after="20"/>
      </w:pPr>
      <w:r>
        <w:rPr>
          <w:b/>
          <w:color w:val="C00000"/>
          <w:sz w:val="24"/>
        </w:rPr>
        <w:t>Risks</w:t>
      </w:r>
    </w:p>
    <w:p>
      <w:r>
        <w:rPr>
          <w:b/>
          <w:color w:val="000000"/>
          <w:sz w:val="24"/>
        </w:rPr>
        <w:t>1. Regional maritime insecurity clouds the Kingdom's stability narrative</w:t>
      </w:r>
    </w:p>
    <w:p>
      <w:r>
        <w:rPr>
          <w:sz w:val="24"/>
        </w:rPr>
        <w:t>The Houthi declaration of a naval blockade on Saudi Arabia, coming amid intensifying US-Iran hostilities and continued disruption to the Strait of Hormuz, sharpens the perception of volatility around the Kingdom. Heightened security headlines can deter international artists, lenders and cultural tourists and complicate the logistics and insurance of major inbound events, even when cultural sites themselves are wholly unaffected.</w:t>
      </w:r>
    </w:p>
    <w:p>
      <w:pPr>
        <w:spacing w:after="60"/>
      </w:pPr>
      <w:r>
        <w:rPr>
          <w:b/>
          <w:sz w:val="24"/>
        </w:rPr>
        <w:t xml:space="preserve">Source: </w:t>
      </w:r>
      <w:hyperlink r:id="rId9">
        <w:r>
          <w:rPr>
            <w:color w:val="0563C1"/>
            <w:u w:val="single"/>
            <w:rFonts w:ascii="Aptos" w:hAnsi="Aptos"/>
          </w:rPr>
          <w:t xml:space="preserve">Al-Monitor</w:t>
        </w:r>
      </w:hyperlink>
      <w:r>
        <w:rPr>
          <w:b w:val="0"/>
        </w:rPr>
        <w:t xml:space="preserve">, </w:t>
      </w:r>
      <w:hyperlink r:id="rId18">
        <w:r>
          <w:rPr>
            <w:color w:val="0563C1"/>
            <w:u w:val="single"/>
            <w:rFonts w:ascii="Aptos" w:hAnsi="Aptos"/>
          </w:rPr>
          <w:t xml:space="preserve">Semafor</w:t>
        </w:r>
      </w:hyperlink>
    </w:p>
    <w:p>
      <w:r>
        <w:rPr>
          <w:b/>
          <w:sz w:val="24"/>
        </w:rPr>
        <w:t xml:space="preserve">Consideration: </w:t>
      </w:r>
      <w:r>
        <w:rPr>
          <w:sz w:val="24"/>
        </w:rPr>
        <w:t>Keep the Ministry's cultural messaging deliberately distinct from the conflict narrative, foregrounding uninterrupted programming, the safety of international participants and the domestic accessibility of cultural offerings, so that the cultural calendar reads as a source of continuity and normality rather than being drawn into the security story.</w:t>
      </w:r>
    </w:p>
    <w:p>
      <w:r>
        <w:rPr>
          <w:b/>
          <w:color w:val="000000"/>
          <w:sz w:val="24"/>
        </w:rPr>
        <w:t>2. Extreme-heat stewardship risk for museums and heritage sites</w:t>
      </w:r>
    </w:p>
    <w:p>
      <w:r>
        <w:rPr>
          <w:sz w:val="24"/>
        </w:rPr>
        <w:t>The labour dispute over dangerous heat inside Venice's museums highlights an operational and reputational risk that applies directly to institutions in the Gulf: extreme temperatures threaten both collections and the people who care for them, and visible failures of climate control quickly become public credibility problems.</w:t>
      </w:r>
    </w:p>
    <w:p>
      <w:pPr>
        <w:spacing w:after="60"/>
      </w:pPr>
      <w:r>
        <w:rPr>
          <w:b/>
          <w:sz w:val="24"/>
        </w:rPr>
        <w:t xml:space="preserve">Source: </w:t>
      </w:r>
      <w:hyperlink r:id="rId13">
        <w:r>
          <w:rPr>
            <w:color w:val="0563C1"/>
            <w:u w:val="single"/>
            <w:rFonts w:ascii="Aptos" w:hAnsi="Aptos"/>
          </w:rPr>
          <w:t xml:space="preserve">The Art Newspaper</w:t>
        </w:r>
      </w:hyperlink>
    </w:p>
    <w:p>
      <w:r>
        <w:rPr>
          <w:b/>
          <w:sz w:val="24"/>
        </w:rPr>
        <w:t xml:space="preserve">Consideration: </w:t>
      </w:r>
      <w:r>
        <w:rPr>
          <w:sz w:val="24"/>
        </w:rPr>
        <w:t>Pre-empt the issue by investing in climate-resilient conservation, environmental controls and staff welfare across Saudi museums and open-air heritage sites, and be ready to communicate those measures, turning a sector-wide vulnerability into a demonstration of institutional professionalism.</w:t>
      </w:r>
    </w:p>
    <w:p>
      <w:pPr>
        <w:spacing w:before="80" w:after="20"/>
      </w:pPr>
      <w:r>
        <w:rPr>
          <w:b/>
          <w:color w:val="A66500"/>
          <w:sz w:val="24"/>
        </w:rPr>
        <w:t>Opportunities</w:t>
      </w:r>
    </w:p>
    <w:p>
      <w:r>
        <w:rPr>
          <w:b/>
          <w:color w:val="000000"/>
          <w:sz w:val="24"/>
        </w:rPr>
        <w:t>1. A global heritage-AI framework the Kingdom can help shape</w:t>
      </w:r>
    </w:p>
    <w:p>
      <w:r>
        <w:rPr>
          <w:sz w:val="24"/>
        </w:rPr>
        <w:t>UNESCO's newly adopted Busan Declaration is the first global heritage accord to set principles for the responsible use of artificial intelligence and digital replication in conservation, arriving just as Saudi Arabia positions 2026 as its Year of Artificial Intelligence and expands digital documentation at its heritage sites. This alignment of international standard-setting with the Kingdom's own priorities is a chance to present Saudi heritage-technology work as consistent with, and contributing to, emerging global norms.</w:t>
      </w:r>
    </w:p>
    <w:p>
      <w:pPr>
        <w:spacing w:after="60"/>
      </w:pPr>
      <w:r>
        <w:rPr>
          <w:b/>
          <w:sz w:val="24"/>
        </w:rPr>
        <w:t xml:space="preserve">Source: </w:t>
      </w:r>
      <w:hyperlink r:id="rId12">
        <w:r>
          <w:rPr>
            <w:color w:val="0563C1"/>
            <w:u w:val="single"/>
            <w:rFonts w:ascii="Aptos" w:hAnsi="Aptos"/>
          </w:rPr>
          <w:t xml:space="preserve">The Korea Times</w:t>
        </w:r>
      </w:hyperlink>
    </w:p>
    <w:p>
      <w:r>
        <w:rPr>
          <w:b/>
          <w:sz w:val="24"/>
        </w:rPr>
        <w:t xml:space="preserve">Consideration: </w:t>
      </w:r>
      <w:r>
        <w:rPr>
          <w:sz w:val="24"/>
        </w:rPr>
        <w:t>Map existing Saudi heritage-digitisation and AI initiatives against the declaration's principles and communicate that alignment in international fora, connecting individual site projects into a coherent national story of responsible cultural innovation rather than isolated announcements.</w:t>
      </w:r>
    </w:p>
    <w:p>
      <w:r>
        <w:rPr>
          <w:b/>
          <w:color w:val="000000"/>
          <w:sz w:val="24"/>
        </w:rPr>
        <w:t>2. New air connectivity to convert into cultural tourism</w:t>
      </w:r>
    </w:p>
    <w:p>
      <w:r>
        <w:rPr>
          <w:sz w:val="24"/>
        </w:rPr>
        <w:t>Riyadh Air's expanded widebody commitments at Farnborough advance the international connectivity that underpins inbound cultural tourism, feeding directly into audiences for the Kingdom's festivals, museums and heritage destinations as new long-haul routes open towards 2030.</w:t>
      </w:r>
    </w:p>
    <w:p>
      <w:pPr>
        <w:spacing w:after="60"/>
      </w:pPr>
      <w:r>
        <w:rPr>
          <w:b/>
          <w:sz w:val="24"/>
        </w:rPr>
        <w:t xml:space="preserve">Source: </w:t>
      </w:r>
      <w:hyperlink r:id="rId10">
        <w:r>
          <w:rPr>
            <w:color w:val="0563C1"/>
            <w:u w:val="single"/>
            <w:rFonts w:ascii="Aptos" w:hAnsi="Aptos"/>
          </w:rPr>
          <w:t xml:space="preserve">Bloomberg</w:t>
        </w:r>
      </w:hyperlink>
    </w:p>
    <w:p>
      <w:r>
        <w:rPr>
          <w:b/>
          <w:sz w:val="24"/>
        </w:rPr>
        <w:t xml:space="preserve">Consideration: </w:t>
      </w:r>
      <w:r>
        <w:rPr>
          <w:sz w:val="24"/>
        </w:rPr>
        <w:t>Coordinate the cultural events calendar and destination marketing with the carrier's route roll-out, so that growing connectivity is deliberately channelled towards cultural-tourism arrivals rather than treated as a purely aviation milestone.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l-monitor.com/originals/2026/07/houthis-declare-red-sea-blockade-saudi-arabia-oil-markets-brace-impact" TargetMode="External"/><Relationship Id="rId10" Type="http://schemas.openxmlformats.org/officeDocument/2006/relationships/hyperlink" Target="https://www.bloomberg.com/news/articles/2026-07-20/riyadh-locks-in-options-for-boeing-airbus-jets-amid-growth-push" TargetMode="External"/><Relationship Id="rId11" Type="http://schemas.openxmlformats.org/officeDocument/2006/relationships/hyperlink" Target="https://www.agbi.com/analysis/industry/2026/07/us-defence-manufacturers-eye-saudi-as-supply-chains-tighten/" TargetMode="External"/><Relationship Id="rId12" Type="http://schemas.openxmlformats.org/officeDocument/2006/relationships/hyperlink" Target="https://www.koreatimes.co.kr/lifestyle/koreanheritage/20260720/unesco-adopts-busan-declaration-for-global-heritage-preservation" TargetMode="External"/><Relationship Id="rId13" Type="http://schemas.openxmlformats.org/officeDocument/2006/relationships/hyperlink" Target="https://www.theartnewspaper.com/2026/07/20/union-threatens-strike-action-over-working-conditions-in-venice-museums-due-to-extreme-temperatures" TargetMode="External"/><Relationship Id="rId14" Type="http://schemas.openxmlformats.org/officeDocument/2006/relationships/hyperlink" Target="https://www.artforum.com/news/david-zwirner-leaves-the-upper-east-side-in-new-york-1234755116/" TargetMode="External"/><Relationship Id="rId15" Type="http://schemas.openxmlformats.org/officeDocument/2006/relationships/hyperlink" Target="https://deadline.com/2026/07/toronto-film-festival-2026-line-up-1236998190/" TargetMode="External"/><Relationship Id="rId16" Type="http://schemas.openxmlformats.org/officeDocument/2006/relationships/hyperlink" Target="https://www.billboard.com/lists/ella-langley-choosin-texas-hot-100-number-one-14th-week/" TargetMode="External"/><Relationship Id="rId17" Type="http://schemas.openxmlformats.org/officeDocument/2006/relationships/hyperlink" Target="https://wwd.com/fashion-news/fashion-scoops/le-bon-marche-alexandra-van-houtte-collaboration-fall-2026-1239075990/" TargetMode="External"/><Relationship Id="rId18" Type="http://schemas.openxmlformats.org/officeDocument/2006/relationships/hyperlink" Target="https://www.semafor.com/article/07/20/2026/red-sea-gateway-at-war-risk-as-us-iran-fighting-intensif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