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7 September 2026</w:t>
      </w:r>
    </w:p>
    <w:p>
      <w:pPr>
        <w:pStyle w:val="NoSpacing"/>
      </w:pPr>
    </w:p>
    <w:p>
      <w:pPr>
        <w:pStyle w:val="NoSpacing"/>
      </w:pPr>
      <w:r>
        <w:rPr>
          <w:b/>
          <w:color w:val="4A86E8"/>
        </w:rPr>
        <w:t>Saudi Arabia/Regional</w:t>
      </w:r>
    </w:p>
    <w:p>
      <w:pPr>
        <w:pStyle w:val="ListBullet"/>
      </w:pPr>
      <w:r>
        <w:t>King Abdulaziz Foundation takes part in book fair in Moscow</w:t>
      </w:r>
    </w:p>
    <w:p>
      <w:pPr>
        <w:pStyle w:val="NoSpacing"/>
      </w:pPr>
    </w:p>
    <w:p>
      <w:pPr>
        <w:pStyle w:val="NoSpacing"/>
      </w:pPr>
      <w:r>
        <w:rPr>
          <w:b/>
          <w:color w:val="EE0000"/>
        </w:rPr>
        <w:t>Negative Articles</w:t>
      </w:r>
    </w:p>
    <w:p>
      <w:pPr>
        <w:pStyle w:val="ListBullet"/>
      </w:pPr>
      <w:r>
        <w:t>Saudi construction push hit by costly detour around Hormuz</w:t>
      </w:r>
    </w:p>
    <w:p>
      <w:pPr>
        <w:pStyle w:val="ListBullet"/>
      </w:pPr>
      <w:r>
        <w:t>Saudi-Turkish electricity corridor likely to be costly and complex</w:t>
      </w:r>
    </w:p>
    <w:p>
      <w:pPr>
        <w:pStyle w:val="ListBullet"/>
      </w:pPr>
      <w:r>
        <w:t>Yemen's Houthis say Saudi CH-4 drone downed over al-Jawf</w:t>
      </w:r>
    </w:p>
    <w:p>
      <w:pPr>
        <w:pStyle w:val="NoSpacing"/>
      </w:pPr>
    </w:p>
    <w:p>
      <w:pPr>
        <w:pStyle w:val="NoSpacing"/>
      </w:pPr>
      <w:r>
        <w:rPr>
          <w:b/>
          <w:color w:val="4A86E8"/>
        </w:rPr>
        <w:t>Global</w:t>
      </w:r>
    </w:p>
    <w:p>
      <w:pPr>
        <w:pStyle w:val="ListBullet"/>
      </w:pPr>
      <w:r>
        <w:t>430,000-Year-Old Wooden Tools Found in Greece Are the Oldest Handheld Examples Known</w:t>
      </w:r>
    </w:p>
    <w:p>
      <w:pPr>
        <w:pStyle w:val="ListBullet"/>
      </w:pPr>
      <w:r>
        <w:t>Could Gobekli Tepe's 'Handbag' Symbols Be the World's Oldest Architectural Drawings?</w:t>
      </w:r>
    </w:p>
    <w:p>
      <w:pPr>
        <w:pStyle w:val="ListBullet"/>
      </w:pPr>
      <w:r>
        <w:t>'Possible Love' From Lee Chang-dong Earns 6-Minute Ovation at Venice</w:t>
      </w:r>
    </w:p>
    <w:p>
      <w:pPr>
        <w:pStyle w:val="ListBullet"/>
      </w:pPr>
      <w:r>
        <w:t>'Primetime' Review: Lance Oppenheim's Dark TV Morality Tale</w:t>
      </w:r>
    </w:p>
    <w:p>
      <w:pPr>
        <w:pStyle w:val="NoSpacing"/>
      </w:pPr>
    </w:p>
    <w:p>
      <w:r>
        <w:br w:type="page"/>
      </w:r>
    </w:p>
    <w:p>
      <w:pPr>
        <w:pStyle w:val="NoSpacing"/>
      </w:pPr>
      <w:r>
        <w:rPr>
          <w:b/>
          <w:color w:val="4A86E8"/>
        </w:rPr>
        <w:t>Saudi Arabia/Regional</w:t>
      </w:r>
    </w:p>
    <w:p>
      <w:pPr>
        <w:pStyle w:val="NoSpacing"/>
      </w:pPr>
      <w:r>
        <w:rPr>
          <w:b/>
          <w:color w:val="000000"/>
        </w:rPr>
        <w:t>Literature, Publishing, and Translation:</w:t>
      </w:r>
    </w:p>
    <w:p>
      <w:pPr>
        <w:pStyle w:val="ListBullet"/>
      </w:pPr>
      <w:r>
        <w:rPr>
          <w:b w:val="0"/>
        </w:rPr>
        <w:t>The King Abdulaziz Foundation for Research and Archives (Darah) took part in the 39th Moscow International Book Fair within a dedicated Saudi pavilion, presenting its historical publications and cultural-documentation projects and drawing academics and researchers to its stand. The appearance extends the Kingdom's cultural diplomacy into a major non-Western book market and frames Saudi history and heritage scholarship as an export in its own right, a useful counterpoint to a week otherwise dominated by regional security coverage. (</w:t>
      </w:r>
      <w:hyperlink r:id="rId9">
        <w:r>
          <w:rPr>
            <w:color w:val="0000FF"/>
            <w:u w:val="single"/>
            <w:rFonts w:ascii="Times New Roman" w:hAnsi="Times New Roman"/>
          </w:rPr>
          <w:t xml:space="preserve">UA.NEWS</w:t>
        </w:r>
      </w:hyperlink>
      <w:r>
        <w:rPr>
          <w:b w:val="0"/>
        </w:rPr>
        <w:t>)</w:t>
      </w:r>
    </w:p>
    <w:p>
      <w:pPr>
        <w:pStyle w:val="NoSpacing"/>
      </w:pPr>
    </w:p>
    <w:p>
      <w:pPr>
        <w:pStyle w:val="NoSpacing"/>
      </w:pPr>
      <w:r>
        <w:rPr>
          <w:b/>
          <w:color w:val="EE0000"/>
        </w:rPr>
        <w:t>Negative Articles</w:t>
      </w:r>
    </w:p>
    <w:p>
      <w:pPr>
        <w:pStyle w:val="ListBullet"/>
      </w:pPr>
      <w:r>
        <w:rPr>
          <w:b w:val="0"/>
        </w:rPr>
        <w:t>Maritime disruption around the Strait of Hormuz is pushing Saudi construction costs upward, with contractors rerouting imported materials overland and electrical wire and cable prices reported up 22 and 26 per cent year on year; the Kingdom nonetheless awarded SAR111bn ($29.6bn) in contracts between January and July. The coverage keeps the economic drag of the regional conflict, and questions over giga-project delivery, in international business headlines at a moment when the Ministry is emphasising cultural delivery on the ground. (</w:t>
      </w:r>
      <w:hyperlink r:id="rId10">
        <w:r>
          <w:rPr>
            <w:color w:val="0000FF"/>
            <w:u w:val="single"/>
            <w:rFonts w:ascii="Times New Roman" w:hAnsi="Times New Roman"/>
          </w:rPr>
          <w:t xml:space="preserve">AGBI</w:t>
        </w:r>
      </w:hyperlink>
      <w:r>
        <w:rPr>
          <w:b w:val="0"/>
        </w:rPr>
        <w:t>)</w:t>
      </w:r>
    </w:p>
    <w:p>
      <w:pPr>
        <w:pStyle w:val="ListBullet"/>
      </w:pPr>
      <w:r>
        <w:rPr>
          <w:b w:val="0"/>
        </w:rPr>
        <w:t>A proposed Saudi-Turkish electricity corridor routed through Jordan and Syria is being framed by analysts as costly, slow and technically complex, with multi-billion-dollar investment and roughly six years cited before any cross-border power could flow. The piece adds to a run of coverage scrutinising the economics and deliverability of the Kingdom's flagship infrastructure ambitions. (</w:t>
      </w:r>
      <w:hyperlink r:id="rId11">
        <w:r>
          <w:rPr>
            <w:color w:val="0000FF"/>
            <w:u w:val="single"/>
            <w:rFonts w:ascii="Times New Roman" w:hAnsi="Times New Roman"/>
          </w:rPr>
          <w:t xml:space="preserve">AGBI</w:t>
        </w:r>
      </w:hyperlink>
      <w:r>
        <w:rPr>
          <w:b w:val="0"/>
        </w:rPr>
        <w:t>)</w:t>
      </w:r>
    </w:p>
    <w:p>
      <w:pPr>
        <w:pStyle w:val="ListBullet"/>
      </w:pPr>
      <w:r>
        <w:rPr>
          <w:b w:val="0"/>
        </w:rPr>
        <w:t>Middle East Eye, whose funding is widely linked to Qatar, amplified a claim by the Houthi military spokesman that the group had downed a Saudi CH-4 reconnaissance drone over al-Jawf province; the assertion is unverified and sits within a rolling conflict live blog. The item is a useful marker of how Qatari-aligned and adversarial outlets are framing Saudi Arabia's role in the regional war as a sequence of military setbacks rather than defensive response. (</w:t>
      </w:r>
      <w:hyperlink r:id="rId12">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Researchers have identified two wooden artefacts at Marathousa 1 in Greece dating to roughly 430,000 years ago, described as the oldest securely identified handheld wooden tools; one appears to be a digging stick, while the other remains functionally unexplained. The find widens understanding of early hominin toolkits beyond stone and shows how perishable-material discoveries are reshaping the deep-heritage narrative that heritage-tourism destinations increasingly draw upon. (</w:t>
      </w:r>
      <w:hyperlink r:id="rId13">
        <w:r>
          <w:rPr>
            <w:color w:val="0000FF"/>
            <w:u w:val="single"/>
            <w:rFonts w:ascii="Times New Roman" w:hAnsi="Times New Roman"/>
          </w:rPr>
          <w:t xml:space="preserve">Arkeonews</w:t>
        </w:r>
      </w:hyperlink>
      <w:r>
        <w:rPr>
          <w:b w:val="0"/>
        </w:rPr>
        <w:t>)</w:t>
      </w:r>
    </w:p>
    <w:p>
      <w:pPr>
        <w:pStyle w:val="ListBullet"/>
      </w:pPr>
      <w:r>
        <w:rPr>
          <w:b w:val="0"/>
        </w:rPr>
        <w:t>A Turkish architect has proposed that three carved shapes on Pillar 43 at Gobekli Tepe may be schematic depictions of monumental buildings rather than the "handbag" motifs they are usually read as, which would place them among the earliest known architectural drawings. The interpretation is unproven but adds to sustained scholarly interest in the site and the wider Neolithic heritage of the region. (</w:t>
      </w:r>
      <w:hyperlink r:id="rId14">
        <w:r>
          <w:rPr>
            <w:color w:val="0000FF"/>
            <w:u w:val="single"/>
            <w:rFonts w:ascii="Times New Roman" w:hAnsi="Times New Roman"/>
          </w:rPr>
          <w:t xml:space="preserve">Arkeonews</w:t>
        </w:r>
      </w:hyperlink>
      <w:r>
        <w:rPr>
          <w:b w:val="0"/>
        </w:rPr>
        <w:t>)</w:t>
      </w:r>
    </w:p>
    <w:p>
      <w:pPr>
        <w:pStyle w:val="NoSpacing"/>
      </w:pPr>
      <w:r>
        <w:rPr>
          <w:b/>
          <w:color w:val="000000"/>
        </w:rPr>
        <w:t>Film:</w:t>
      </w:r>
    </w:p>
    <w:p>
      <w:pPr>
        <w:pStyle w:val="ListBullet"/>
      </w:pPr>
      <w:r>
        <w:rPr>
          <w:b w:val="0"/>
        </w:rPr>
        <w:t>Lee Chang-dong's "Possible Love", his first feature since "Burning" in 2018 and South Korea's Oscar submission, drew a six-minute ovation at its Venice competition premiere. The reception marks a notable return for one of Asian cinema's most respected directors and reinforces Venice's standing as a launchpad for awards-season contenders. (</w:t>
      </w:r>
      <w:hyperlink r:id="rId15">
        <w:r>
          <w:rPr>
            <w:color w:val="0000FF"/>
            <w:u w:val="single"/>
            <w:rFonts w:ascii="Times New Roman" w:hAnsi="Times New Roman"/>
          </w:rPr>
          <w:t xml:space="preserve">Variety</w:t>
        </w:r>
      </w:hyperlink>
      <w:r>
        <w:rPr>
          <w:b w:val="0"/>
        </w:rPr>
        <w:t>)</w:t>
      </w:r>
    </w:p>
    <w:p>
      <w:pPr>
        <w:pStyle w:val="ListBullet"/>
      </w:pPr>
      <w:r>
        <w:rPr>
          <w:b w:val="0"/>
        </w:rPr>
        <w:t>Lance Oppenheim's "Primetime", with Robert Pattinson as the Dateline host Chris Hansen, premiered in Venice to first reviews describing it as a dark satire shot like an arthouse horror film. The title is among the more talked-about world premieres of this year's competition and signals a continuing festival appetite for stylistically bold treatments of media and true-crime culture. (</w:t>
      </w:r>
      <w:hyperlink r:id="rId16">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conflict's economic and security shadow over the delivery narrative</w:t>
      </w:r>
    </w:p>
    <w:p>
      <w:pPr>
        <w:pStyle w:val="NoSpacing"/>
      </w:pPr>
      <w:r>
        <w:t>AGBI's reporting that disruption around the Strait of Hormuz is lifting construction costs, and its scrutiny of the costly, complex Saudi-Turkish power corridor, both point to the war's economic drag on the Kingdom's flagship projects; alongside them, Qatari-aligned Middle East Eye's amplification of an unverified Houthi claim to have downed a Saudi drone shows adversarial outlets casting Saudi Arabia's role in the conflict as a run of setbacks. Together these strands risk crowding cultural delivery out of the international picture and colouring how unrelated cultural investment is read.</w:t>
      </w:r>
    </w:p>
    <w:p>
      <w:pPr>
        <w:pStyle w:val="NoSpacing"/>
      </w:pPr>
      <w:r>
        <w:rPr>
          <w:b/>
        </w:rPr>
        <w:t xml:space="preserve">Source: </w:t>
      </w:r>
      <w:hyperlink r:id="rId10">
        <w:r>
          <w:rPr>
            <w:color w:val="0000FF"/>
            <w:u w:val="single"/>
            <w:rFonts w:ascii="Times New Roman" w:hAnsi="Times New Roman"/>
          </w:rPr>
          <w:t xml:space="preserve">AGBI</w:t>
        </w:r>
      </w:hyperlink>
      <w:r>
        <w:rPr>
          <w:b w:val="0"/>
        </w:rPr>
        <w:t xml:space="preserve">, </w:t>
      </w:r>
      <w:hyperlink r:id="rId11">
        <w:r>
          <w:rPr>
            <w:color w:val="0000FF"/>
            <w:u w:val="single"/>
            <w:rFonts w:ascii="Times New Roman" w:hAnsi="Times New Roman"/>
          </w:rPr>
          <w:t xml:space="preserve">AGBI</w:t>
        </w:r>
      </w:hyperlink>
      <w:r>
        <w:rPr>
          <w:b w:val="0"/>
        </w:rPr>
        <w:t xml:space="preserve">, </w:t>
      </w:r>
      <w:hyperlink r:id="rId12">
        <w:r>
          <w:rPr>
            <w:color w:val="0000FF"/>
            <w:u w:val="single"/>
            <w:rFonts w:ascii="Times New Roman" w:hAnsi="Times New Roman"/>
          </w:rPr>
          <w:t xml:space="preserve">Middle East Eye</w:t>
        </w:r>
      </w:hyperlink>
    </w:p>
    <w:p>
      <w:pPr>
        <w:pStyle w:val="NoSpacing"/>
      </w:pPr>
      <w:r>
        <w:rPr>
          <w:b/>
        </w:rPr>
        <w:t xml:space="preserve">Consideration: </w:t>
      </w:r>
      <w:r>
        <w:t>Keep the Ministry's cultural narrative visibly distinct from conflict and macro-infrastructure coverage, anchoring it in credible delivery, public access, Saudi talent and heritage stewardship rather than in mega-project economics.</w:t>
      </w:r>
    </w:p>
    <w:p>
      <w:pPr>
        <w:pStyle w:val="NoSpacing"/>
      </w:pPr>
    </w:p>
    <w:p>
      <w:pPr>
        <w:pStyle w:val="NoSpacing"/>
      </w:pPr>
      <w:r>
        <w:rPr>
          <w:b/>
          <w:color w:val="A66500"/>
        </w:rPr>
        <w:t>Opportunities</w:t>
      </w:r>
    </w:p>
    <w:p>
      <w:pPr>
        <w:pStyle w:val="NoSpacing"/>
      </w:pPr>
      <w:r>
        <w:rPr>
          <w:b/>
          <w:color w:val="000000"/>
        </w:rPr>
        <w:t>1. Cultural diplomacy through international book and scholarship platforms</w:t>
      </w:r>
    </w:p>
    <w:p>
      <w:pPr>
        <w:pStyle w:val="NoSpacing"/>
      </w:pPr>
      <w:r>
        <w:t>The King Abdulaziz Foundation's presence at the Moscow International Book Fair shows Saudi cultural institutions carrying the Kingdom's history and heritage scholarship directly into major non-Western markets, independent of the security headlines dominating regional coverage this week.</w:t>
      </w:r>
    </w:p>
    <w:p>
      <w:pPr>
        <w:pStyle w:val="NoSpacing"/>
      </w:pPr>
      <w:r>
        <w:rPr>
          <w:b/>
        </w:rPr>
        <w:t xml:space="preserve">Source: </w:t>
      </w:r>
      <w:hyperlink r:id="rId9">
        <w:r>
          <w:rPr>
            <w:color w:val="0000FF"/>
            <w:u w:val="single"/>
            <w:rFonts w:ascii="Times New Roman" w:hAnsi="Times New Roman"/>
          </w:rPr>
          <w:t xml:space="preserve">UA.NEWS</w:t>
        </w:r>
      </w:hyperlink>
    </w:p>
    <w:p>
      <w:pPr>
        <w:pStyle w:val="NoSpacing"/>
      </w:pPr>
      <w:r>
        <w:rPr>
          <w:b/>
        </w:rPr>
        <w:t xml:space="preserve">Consideration: </w:t>
      </w:r>
      <w:r>
        <w:t>The Ministry could connect appearances like this into a sustained, joined-up cultural-diplomacy programme — a calendar of international fairs, translations and scholarly exchange — rather than treating each as a standalone outing.</w:t>
      </w:r>
    </w:p>
    <w:p>
      <w:pPr>
        <w:pStyle w:val="NoSpacing"/>
      </w:pPr>
    </w:p>
    <w:p>
      <w:pPr>
        <w:pStyle w:val="NoSpacing"/>
      </w:pPr>
      <w:r>
        <w:rPr>
          <w:b/>
          <w:color w:val="000000"/>
        </w:rPr>
        <w:t>2. Global appetite for deep-heritage discovery plays to the Kingdom's strengths</w:t>
      </w:r>
    </w:p>
    <w:p>
      <w:pPr>
        <w:pStyle w:val="NoSpacing"/>
      </w:pPr>
      <w:r>
        <w:t>The prominence of major archaeology stories this week — the oldest known handheld wooden tools in Greece and a fresh reading of Gobekli Tepe's carvings — reflects sustained international interest in deep-heritage discovery, the same register in which Saudi sites such as AlUla, Hegra and Dadan are being positioned.</w:t>
      </w:r>
    </w:p>
    <w:p>
      <w:pPr>
        <w:pStyle w:val="NoSpacing"/>
      </w:pPr>
      <w:r>
        <w:rPr>
          <w:b/>
        </w:rPr>
        <w:t xml:space="preserve">Source: </w:t>
      </w:r>
      <w:hyperlink r:id="rId13">
        <w:r>
          <w:rPr>
            <w:color w:val="0000FF"/>
            <w:u w:val="single"/>
            <w:rFonts w:ascii="Times New Roman" w:hAnsi="Times New Roman"/>
          </w:rPr>
          <w:t xml:space="preserve">Arkeonews</w:t>
        </w:r>
      </w:hyperlink>
      <w:r>
        <w:rPr>
          <w:b w:val="0"/>
        </w:rPr>
        <w:t xml:space="preserve">, </w:t>
      </w:r>
      <w:hyperlink r:id="rId14">
        <w:r>
          <w:rPr>
            <w:color w:val="0000FF"/>
            <w:u w:val="single"/>
            <w:rFonts w:ascii="Times New Roman" w:hAnsi="Times New Roman"/>
          </w:rPr>
          <w:t xml:space="preserve">Arkeonews</w:t>
        </w:r>
      </w:hyperlink>
    </w:p>
    <w:p>
      <w:pPr>
        <w:pStyle w:val="NoSpacing"/>
      </w:pPr>
      <w:r>
        <w:rPr>
          <w:b/>
        </w:rPr>
        <w:t xml:space="preserve">Consideration: </w:t>
      </w:r>
      <w:r>
        <w:t>Heritage and museum communications could tie Saudi archaeological programming to this global conversation, positioning the Kingdom's sites within a worldwide story of discovery rather than as isolated national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a.news/en/culture/fond-korolia-abdul-aziza-bere-uchast-u-knizhkovomu-iarmarku-v-moskvi" TargetMode="External"/><Relationship Id="rId10" Type="http://schemas.openxmlformats.org/officeDocument/2006/relationships/hyperlink" Target="https://www.agbi.com/analysis/construction/2026/09/saudi-construction-push-hit-by-costly-detour-around-hormuz/" TargetMode="External"/><Relationship Id="rId11" Type="http://schemas.openxmlformats.org/officeDocument/2006/relationships/hyperlink" Target="https://www.agbi.com/analysis/energy/2026/09/saudi-turkish-electricity-corridor-likely-to-be-costly-and-complex/" TargetMode="External"/><Relationship Id="rId12" Type="http://schemas.openxmlformats.org/officeDocument/2006/relationships/hyperlink" Target="https://www.middleeasteye.net/live-blog/live-blog-update/yemens-houthis-say-it-downed-saudi-ch-4-drone-over-al-jawf" TargetMode="External"/><Relationship Id="rId13" Type="http://schemas.openxmlformats.org/officeDocument/2006/relationships/hyperlink" Target="https://arkeonews.net/430000-year-old-wooden-tools-found-in-greece-are-the-oldest-handheld-examples-known/" TargetMode="External"/><Relationship Id="rId14" Type="http://schemas.openxmlformats.org/officeDocument/2006/relationships/hyperlink" Target="https://arkeonews.net/could-gobekli-tepes-handbag-symbols-be-the-worlds-oldest-architectural-drawings/" TargetMode="External"/><Relationship Id="rId15" Type="http://schemas.openxmlformats.org/officeDocument/2006/relationships/hyperlink" Target="https://variety.com/2026/film/festivals/possible-love-lee-chang-dong-venice-premiere-1236838135/" TargetMode="External"/><Relationship Id="rId16" Type="http://schemas.openxmlformats.org/officeDocument/2006/relationships/hyperlink" Target="https://deadline.com/2026/09/primetime-review-robert-pattinson-lance-oppenheim-venice-1237068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