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18 August 2026</w:t>
      </w:r>
    </w:p>
    <w:p>
      <w:pPr>
        <w:pStyle w:val="NoSpacing"/>
      </w:pPr>
    </w:p>
    <w:p>
      <w:pPr>
        <w:pStyle w:val="NoSpacing"/>
      </w:pPr>
      <w:r>
        <w:rPr>
          <w:b/>
          <w:color w:val="4A86E8"/>
        </w:rPr>
        <w:t>Saudi Arabia/Regional</w:t>
      </w:r>
    </w:p>
    <w:p>
      <w:pPr>
        <w:pStyle w:val="ListBullet"/>
      </w:pPr>
      <w:r>
        <w:t>Houthis Claim Strike on Saudi Vessel as Red Sea Violence Escalates</w:t>
      </w:r>
    </w:p>
    <w:p>
      <w:pPr>
        <w:pStyle w:val="ListBullet"/>
      </w:pPr>
      <w:r>
        <w:t>Asian Refiners Ask to Pick Up Saudi Oil Outside Risky Red Sea</w:t>
      </w:r>
    </w:p>
    <w:p>
      <w:pPr>
        <w:pStyle w:val="ListBullet"/>
      </w:pPr>
      <w:r>
        <w:t>Saudis Offer to Sell Oil Near Oman, a Possible Sign They're Sailing Dark Through Hormuz</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ListBullet"/>
      </w:pPr>
      <w:r>
        <w:t>Rare 4,000-Year-Old 'Enigmatic Tablet' Found Intact at Lucone Bronze Age Village in Italy</w:t>
      </w:r>
    </w:p>
    <w:p>
      <w:pPr>
        <w:pStyle w:val="ListBullet"/>
      </w:pPr>
      <w:r>
        <w:t>Possible Bronze Age Grave Unearthed Beneath Viking Ship Burial</w:t>
      </w:r>
    </w:p>
    <w:p>
      <w:pPr>
        <w:pStyle w:val="ListBullet"/>
      </w:pPr>
      <w:r>
        <w:t>1,600-Year-Old Early Christian Mosaics Discovered in Croatia with a 'Great Sinners' Inscription</w:t>
      </w:r>
    </w:p>
    <w:p>
      <w:pPr>
        <w:pStyle w:val="ListBullet"/>
      </w:pPr>
      <w:r>
        <w:t>Ceremonial Poles Returned to Canadian Village Site</w:t>
      </w:r>
    </w:p>
    <w:p>
      <w:pPr>
        <w:pStyle w:val="ListBullet"/>
      </w:pPr>
      <w:r>
        <w:t>Rare Tagar Horse Engravings Discovered in an Early Iron Age Burial Mound in Khakassia</w:t>
      </w:r>
    </w:p>
    <w:p>
      <w:pPr>
        <w:pStyle w:val="ListBullet"/>
      </w:pPr>
      <w:r>
        <w:t>Breeze Creative partners with ICR Discovery Center to create immersive, hands-on experiences</w:t>
      </w:r>
    </w:p>
    <w:p>
      <w:pPr>
        <w:pStyle w:val="ListBullet"/>
      </w:pPr>
      <w:r>
        <w:t>facts and fiction to design two pavilions for Expo 2027 Belgrade</w:t>
      </w:r>
    </w:p>
    <w:p>
      <w:pPr>
        <w:pStyle w:val="ListBullet"/>
      </w:pPr>
      <w:r>
        <w:t>Jitish Kallat commissioned for the Menil Drawing Institute's Wall Drawing Series</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Yemen's Iran-backed Houthis said on Monday that they had launched a ballistic-missile attack on a Saudi vessel and its escort ships in the Red Sea near the Yemeni port of Mokha, the latest strike in an escalating campaign around one of the world's most important trade routes. The persistence of the maritime confrontation keeps a security shadow over the Kingdom's Red Sea coast at exactly the moment its tourism and cultural-destination ambitions there are most exposed to perceptions of risk. (</w:t>
      </w:r>
      <w:hyperlink r:id="rId9">
        <w:r>
          <w:rPr>
            <w:color w:val="0000FF"/>
            <w:u w:val="single"/>
            <w:rFonts w:ascii="Times New Roman" w:hAnsi="Times New Roman"/>
          </w:rPr>
          <w:t xml:space="preserve">The New York Times</w:t>
        </w:r>
      </w:hyperlink>
      <w:r>
        <w:rPr>
          <w:b w:val="0"/>
        </w:rPr>
        <w:t>)</w:t>
      </w:r>
    </w:p>
    <w:p>
      <w:pPr>
        <w:pStyle w:val="ListBullet"/>
      </w:pPr>
      <w:r>
        <w:rPr>
          <w:b w:val="0"/>
        </w:rPr>
        <w:t>Some Asian refiners are pushing back against Saudi Aramco's request that they collect their crude at Yanbu on the Red Sea, citing the difficulty of finding vessels willing to sail through waters now targeted by Houthi missiles. The reluctance shows how the conflict is beginning to reshape commercial relationships around Saudi energy exports, a logistical and reputational pressure that sits directly beneath the Kingdom's economic-diversification story. (</w:t>
      </w:r>
      <w:hyperlink r:id="rId10">
        <w:r>
          <w:rPr>
            <w:color w:val="0000FF"/>
            <w:u w:val="single"/>
            <w:rFonts w:ascii="Times New Roman" w:hAnsi="Times New Roman"/>
          </w:rPr>
          <w:t xml:space="preserve">Bloomberg</w:t>
        </w:r>
      </w:hyperlink>
      <w:r>
        <w:rPr>
          <w:b w:val="0"/>
        </w:rPr>
        <w:t>)</w:t>
      </w:r>
    </w:p>
    <w:p>
      <w:pPr>
        <w:pStyle w:val="ListBullet"/>
      </w:pPr>
      <w:r>
        <w:rPr>
          <w:b w:val="0"/>
        </w:rPr>
        <w:t>Saudi Aramco is offering cargoes on a ship-to-ship basis from locations near Sohar in the Gulf of Oman, which analysts read as a possible sign that the Kingdom is quietly shuttling barrels through the Strait of Hormuz to avoid the Red Sea. The manoeuvre underlines how much operational improvisation the current security environment is forcing on Saudi trade, even as official messaging stresses stability. (</w:t>
      </w:r>
      <w:hyperlink r:id="rId11">
        <w:r>
          <w:rPr>
            <w:color w:val="0000FF"/>
            <w:u w:val="single"/>
            <w:rFonts w:ascii="Times New Roman" w:hAnsi="Times New Roman"/>
          </w:rPr>
          <w:t xml:space="preserve">Bloomberg</w:t>
        </w:r>
      </w:hyperlink>
      <w:r>
        <w:rPr>
          <w:b w:val="0"/>
        </w:rPr>
        <w: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at the Lucone di Polpenazze Bronze Age village in northern Italy have recovered a rare, intact 'enigmatic tablet', bringing the site's total to 21 of these geometric-marked clay objects, more than at any other site, though their purpose, from calendars to exchange tokens, remains unresolved. The find is a reminder of how a single well-preserved site can anchor an entire research field, a dynamic the Kingdom is pursuing through its own long-horizon excavation programmes at AlUla and beyond. (</w:t>
      </w:r>
      <w:hyperlink r:id="rId12">
        <w:r>
          <w:rPr>
            <w:color w:val="0000FF"/>
            <w:u w:val="single"/>
            <w:rFonts w:ascii="Times New Roman" w:hAnsi="Times New Roman"/>
          </w:rPr>
          <w:t xml:space="preserve">Arkeonews</w:t>
        </w:r>
      </w:hyperlink>
      <w:r>
        <w:rPr>
          <w:b w:val="0"/>
        </w:rPr>
        <w:t>)</w:t>
      </w:r>
    </w:p>
    <w:p>
      <w:pPr>
        <w:pStyle w:val="ListBullet"/>
      </w:pPr>
      <w:r>
        <w:rPr>
          <w:b w:val="0"/>
        </w:rPr>
        <w:t>Researchers from the University of Stavanger excavating the Gronhaug mound on Norway's Karmoy island have found what appears to be a Bronze Age grave beneath a Viking-era ship burial dated to around AD 864, with organic material so well preserved that heather leaves survived intact. The layered discovery illustrates the scholarly value of returning to sites first dug more than a century ago with modern methods, an approach directly relevant to the re-study of long-known Saudi heritage sites. (</w:t>
      </w:r>
      <w:hyperlink r:id="rId13">
        <w:r>
          <w:rPr>
            <w:color w:val="0000FF"/>
            <w:u w:val="single"/>
            <w:rFonts w:ascii="Times New Roman" w:hAnsi="Times New Roman"/>
          </w:rPr>
          <w:t xml:space="preserve">Archaeology Magazine</w:t>
        </w:r>
      </w:hyperlink>
      <w:r>
        <w:rPr>
          <w:b w:val="0"/>
        </w:rPr>
        <w:t>)</w:t>
      </w:r>
    </w:p>
    <w:p>
      <w:pPr>
        <w:pStyle w:val="ListBullet"/>
      </w:pPr>
      <w:r>
        <w:rPr>
          <w:b w:val="0"/>
        </w:rPr>
        <w:t>In Betiga, Croatia, archaeologists have re-exposed 1,600-year-old early Christian floor mosaics at the Church of St Andrew, including a donor inscription in which a couple describe themselves as 'great sinners', this time recording the work with laser scanning and photogrammetry before conservation begins. The project shows how digital documentation is becoming standard practice in heritage conservation, a workflow Saudi institutions are adopting as they record their own sites. (</w:t>
      </w:r>
      <w:hyperlink r:id="rId14">
        <w:r>
          <w:rPr>
            <w:color w:val="0000FF"/>
            <w:u w:val="single"/>
            <w:rFonts w:ascii="Times New Roman" w:hAnsi="Times New Roman"/>
          </w:rPr>
          <w:t xml:space="preserve">Arkeonews</w:t>
        </w:r>
      </w:hyperlink>
      <w:r>
        <w:rPr>
          <w:b w:val="0"/>
        </w:rPr>
        <w:t>)</w:t>
      </w:r>
    </w:p>
    <w:p>
      <w:pPr>
        <w:pStyle w:val="ListBullet"/>
      </w:pPr>
      <w:r>
        <w:rPr>
          <w:b w:val="0"/>
        </w:rPr>
        <w:t>Five cedar poles carved in the 18th or 19th century have been returned by helicopter to a historic Haida village on Anthony Island in British Columbia, nearly a century after they were removed and passed through several Canadian museums. The repatriation, marked with songs and ceremony, adds to the growing international momentum around returning cultural property to source communities, a debate with direct bearing on how the Kingdom frames the stewardship of its own heritage. (</w:t>
      </w:r>
      <w:hyperlink r:id="rId15">
        <w:r>
          <w:rPr>
            <w:color w:val="0000FF"/>
            <w:u w:val="single"/>
            <w:rFonts w:ascii="Times New Roman" w:hAnsi="Times New Roman"/>
          </w:rPr>
          <w:t xml:space="preserve">Archaeology Magazine</w:t>
        </w:r>
      </w:hyperlink>
      <w:r>
        <w:rPr>
          <w:b w:val="0"/>
        </w:rPr>
        <w:t>)</w:t>
      </w:r>
    </w:p>
    <w:p>
      <w:pPr>
        <w:pStyle w:val="ListBullet"/>
      </w:pPr>
      <w:r>
        <w:rPr>
          <w:b w:val="0"/>
        </w:rPr>
        <w:t>On a stone slab at a Tagar-culture burial mound in Khakassia, southern Siberia, archaeologists have found rare engravings of two horses and a goat overlying older human figures, evidence that the slab was reused as the mound was rebuilt across generations. Horse imagery is unusual in the region, and the find speaks to how burial monuments accrue meaning over centuries, a framing that resonates with the layered occupation histories at sites such as AlUla. (</w:t>
      </w:r>
      <w:hyperlink r:id="rId16">
        <w:r>
          <w:rPr>
            <w:color w:val="0000FF"/>
            <w:u w:val="single"/>
            <w:rFonts w:ascii="Times New Roman" w:hAnsi="Times New Roman"/>
          </w:rPr>
          <w:t xml:space="preserve">Arkeonews</w:t>
        </w:r>
      </w:hyperlink>
      <w:r>
        <w:rPr>
          <w:b w:val="0"/>
        </w:rPr>
        <w:t>)</w:t>
      </w:r>
    </w:p>
    <w:p>
      <w:pPr>
        <w:pStyle w:val="NoSpacing"/>
      </w:pPr>
      <w:r>
        <w:rPr>
          <w:b/>
          <w:color w:val="000000"/>
        </w:rPr>
        <w:t>Museums:</w:t>
      </w:r>
    </w:p>
    <w:p>
      <w:pPr>
        <w:pStyle w:val="ListBullet"/>
      </w:pPr>
      <w:r>
        <w:rPr>
          <w:b w:val="0"/>
        </w:rPr>
        <w:t>The immersive-design studio Breeze Creative has installed three interactive exhibits, a real-time animated sandbox, a drawing-animation wall and a table for assembling digital creatures, at the ICR Discovery Center in Dallas, part of a broader museum-sector move toward hands-on, technology-led interpretation. The shift to participatory, screen-based exhibitry is one Saudi museums such as Ithra and SAMoCA are already pursuing, making vendor deployments of this kind useful benchmarks for the Museums Commission. (</w:t>
      </w:r>
      <w:hyperlink r:id="rId17">
        <w:r>
          <w:rPr>
            <w:color w:val="0000FF"/>
            <w:u w:val="single"/>
            <w:rFonts w:ascii="Times New Roman" w:hAnsi="Times New Roman"/>
          </w:rPr>
          <w:t xml:space="preserve">Blooloop</w:t>
        </w:r>
      </w:hyperlink>
      <w:r>
        <w:rPr>
          <w:b w:val="0"/>
        </w:rPr>
        <w:t>)</w:t>
      </w:r>
    </w:p>
    <w:p>
      <w:pPr>
        <w:pStyle w:val="NoSpacing"/>
      </w:pPr>
      <w:r>
        <w:rPr>
          <w:b/>
          <w:color w:val="000000"/>
        </w:rPr>
        <w:t>Architecture and Design:</w:t>
      </w:r>
    </w:p>
    <w:p>
      <w:pPr>
        <w:pStyle w:val="ListBullet"/>
      </w:pPr>
      <w:r>
        <w:rPr>
          <w:b w:val="0"/>
        </w:rPr>
        <w:t>The agency facts and fiction has been appointed to design the German ('Germany! Out of the Box') and Austrian ('Join the Flow') national pavilions for Expo 2027 Belgrade, the first World Expo to be held in south-east Europe. National-pavilion commissions are a barometer of how countries choose to narrate identity through architecture and design, a discipline directly relevant as the Kingdom plans its own expo presence and cultural-diplomacy platforms. (</w:t>
      </w:r>
      <w:hyperlink r:id="rId18">
        <w:r>
          <w:rPr>
            <w:color w:val="0000FF"/>
            <w:u w:val="single"/>
            <w:rFonts w:ascii="Times New Roman" w:hAnsi="Times New Roman"/>
          </w:rPr>
          <w:t xml:space="preserve">Blooloop</w:t>
        </w:r>
      </w:hyperlink>
      <w:r>
        <w:rPr>
          <w:b w:val="0"/>
        </w:rPr>
        <w:t>)</w:t>
      </w:r>
    </w:p>
    <w:p>
      <w:pPr>
        <w:pStyle w:val="NoSpacing"/>
      </w:pPr>
      <w:r>
        <w:rPr>
          <w:b/>
          <w:color w:val="000000"/>
        </w:rPr>
        <w:t>Visual Arts:</w:t>
      </w:r>
    </w:p>
    <w:p>
      <w:pPr>
        <w:pStyle w:val="ListBullet"/>
      </w:pPr>
      <w:r>
        <w:rPr>
          <w:b w:val="0"/>
        </w:rPr>
        <w:t>The Mumbai-based artist Jitish Kallat has been selected for the eighth edition of the Menil Drawing Institute's Wall Drawing Series in Houston, joining a lineage that includes Roni Horn and Mel Bochner, with his large-scale site-specific work due on view from September 2026. The commission model, inviting a single international artist to transform an institutional space, is an accessible and relatively low-cost format that Saudi visual-arts institutions could adapt as they build their own commissioning programmes. (</w:t>
      </w:r>
      <w:hyperlink r:id="rId19">
        <w:r>
          <w:rPr>
            <w:color w:val="0000FF"/>
            <w:u w:val="single"/>
            <w:rFonts w:ascii="Times New Roman" w:hAnsi="Times New Roman"/>
          </w:rPr>
          <w:t xml:space="preserve">ArtAsiaPacific</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crisis clouds the Kingdom's cultural-destination narrative</w:t>
      </w:r>
    </w:p>
    <w:p>
      <w:pPr>
        <w:pStyle w:val="NoSpacing"/>
      </w:pPr>
      <w:r>
        <w:t>The intensifying Houthi campaign against Saudi shipping, a fresh missile strike near Mokha, Asian refiners declining Red Sea pickups, and Aramco rerouting cargoes toward Hormuz, keeps Saudi Arabia in the headlines as a theatre of conflict rather than of culture. Left uncountered, that framing risks bleeding into perceptions of the Red Sea coast's tourism and heritage developments, where investor and visitor confidence is most sensitive to security signals.</w:t>
      </w:r>
    </w:p>
    <w:p>
      <w:pPr>
        <w:pStyle w:val="NoSpacing"/>
      </w:pPr>
      <w:r>
        <w:rPr>
          <w:b/>
        </w:rPr>
        <w:t xml:space="preserve">Source: </w:t>
      </w:r>
      <w:hyperlink r:id="rId9">
        <w:r>
          <w:rPr>
            <w:color w:val="0000FF"/>
            <w:u w:val="single"/>
            <w:rFonts w:ascii="Times New Roman" w:hAnsi="Times New Roman"/>
          </w:rPr>
          <w:t xml:space="preserve">The New York Times</w:t>
        </w:r>
      </w:hyperlink>
      <w:r>
        <w:rPr>
          <w:b w:val="0"/>
        </w:rPr>
        <w:t xml:space="preserve">, </w:t>
      </w:r>
      <w:hyperlink r:id="rId10">
        <w:r>
          <w:rPr>
            <w:color w:val="0000FF"/>
            <w:u w:val="single"/>
            <w:rFonts w:ascii="Times New Roman" w:hAnsi="Times New Roman"/>
          </w:rPr>
          <w:t xml:space="preserve">Bloomberg</w:t>
        </w:r>
      </w:hyperlink>
    </w:p>
    <w:p>
      <w:pPr>
        <w:pStyle w:val="NoSpacing"/>
      </w:pPr>
      <w:r>
        <w:rPr>
          <w:b/>
        </w:rPr>
        <w:t xml:space="preserve">Consideration: </w:t>
      </w:r>
      <w:r>
        <w:t>Keep the Ministry's cultural messaging deliberately distinct from the security story, foregrounding the continuity and public accessibility of heritage sites and cultural programming inland at AlUla, Diriyah and Riyadh, and the safe, uninterrupted participation of international cultural partners.</w:t>
      </w:r>
    </w:p>
    <w:p>
      <w:pPr>
        <w:pStyle w:val="NoSpacing"/>
      </w:pPr>
    </w:p>
    <w:p>
      <w:pPr>
        <w:pStyle w:val="NoSpacing"/>
      </w:pPr>
      <w:r>
        <w:rPr>
          <w:b/>
          <w:color w:val="000000"/>
        </w:rPr>
        <w:t>2. Wartime reputational pressure could dampen international cultural engagement</w:t>
      </w:r>
    </w:p>
    <w:p>
      <w:pPr>
        <w:pStyle w:val="NoSpacing"/>
      </w:pPr>
      <w:r>
        <w:t>Coverage this cycle frames the wider regional war as a drag on Gulf travel confidence and investor sentiment, with Saudi crude increasingly rerouted and shuttled to avoid contested waters, a backdrop against which international partners may grow cautious about committing to Saudi cultural events, loans and co-productions. The risk is less to any single programme than to the steady flow of international collaboration on which the Ministry's soft-power strategy depends.</w:t>
      </w:r>
    </w:p>
    <w:p>
      <w:pPr>
        <w:pStyle w:val="NoSpacing"/>
      </w:pPr>
      <w:r>
        <w:rPr>
          <w:b/>
        </w:rPr>
        <w:t xml:space="preserve">Source: </w:t>
      </w:r>
      <w:hyperlink r:id="rId11">
        <w:r>
          <w:rPr>
            <w:color w:val="0000FF"/>
            <w:u w:val="single"/>
            <w:rFonts w:ascii="Times New Roman" w:hAnsi="Times New Roman"/>
          </w:rPr>
          <w:t xml:space="preserve">Bloomberg</w:t>
        </w:r>
      </w:hyperlink>
    </w:p>
    <w:p>
      <w:pPr>
        <w:pStyle w:val="NoSpacing"/>
      </w:pPr>
      <w:r>
        <w:rPr>
          <w:b/>
        </w:rPr>
        <w:t xml:space="preserve">Consideration: </w:t>
      </w:r>
      <w:r>
        <w:t>Reassure international counterparts with concrete evidence of operational normalcy, confirmed exhibition calendars, secure logistics for loans, and visible institutional professionalism, rather than engaging the security narrative directly.</w:t>
      </w:r>
    </w:p>
    <w:p>
      <w:pPr>
        <w:pStyle w:val="NoSpacing"/>
      </w:pPr>
    </w:p>
    <w:p>
      <w:pPr>
        <w:pStyle w:val="NoSpacing"/>
      </w:pPr>
      <w:r>
        <w:rPr>
          <w:b/>
          <w:color w:val="A66500"/>
        </w:rPr>
        <w:t>Opportunities</w:t>
      </w:r>
    </w:p>
    <w:p>
      <w:pPr>
        <w:pStyle w:val="NoSpacing"/>
      </w:pPr>
      <w:r>
        <w:rPr>
          <w:b/>
          <w:color w:val="000000"/>
        </w:rPr>
        <w:t>1. A busy global heritage-discovery cycle offers ready benchmarking for Saudi archaeology</w:t>
      </w:r>
    </w:p>
    <w:p>
      <w:pPr>
        <w:pStyle w:val="NoSpacing"/>
      </w:pPr>
      <w:r>
        <w:t>In-window discoveries across Italy, Norway, Croatia, Canada and Siberia show a strong global appetite for archaeology and heritage storytelling, much of it built on returning to known sites with modern methods and digital recording. Saudi Arabia's own excavation programmes at AlUla, Hegra, Dadan and Al-Faw are producing exactly this kind of material, positioning the Heritage Commission to ride, rather than compete with, the international heritage news cycle.</w:t>
      </w:r>
    </w:p>
    <w:p>
      <w:pPr>
        <w:pStyle w:val="NoSpacing"/>
      </w:pPr>
      <w:r>
        <w:rPr>
          <w:b/>
        </w:rPr>
        <w:t xml:space="preserve">Source: </w:t>
      </w:r>
      <w:hyperlink r:id="rId12">
        <w:r>
          <w:rPr>
            <w:color w:val="0000FF"/>
            <w:u w:val="single"/>
            <w:rFonts w:ascii="Times New Roman" w:hAnsi="Times New Roman"/>
          </w:rPr>
          <w:t xml:space="preserve">Arkeonews</w:t>
        </w:r>
      </w:hyperlink>
      <w:r>
        <w:rPr>
          <w:b w:val="0"/>
        </w:rPr>
        <w:t xml:space="preserve">, </w:t>
      </w:r>
      <w:hyperlink r:id="rId13">
        <w:r>
          <w:rPr>
            <w:color w:val="0000FF"/>
            <w:u w:val="single"/>
            <w:rFonts w:ascii="Times New Roman" w:hAnsi="Times New Roman"/>
          </w:rPr>
          <w:t xml:space="preserve">Archaeology Magazine</w:t>
        </w:r>
      </w:hyperlink>
    </w:p>
    <w:p>
      <w:pPr>
        <w:pStyle w:val="NoSpacing"/>
      </w:pPr>
      <w:r>
        <w:rPr>
          <w:b/>
        </w:rPr>
        <w:t xml:space="preserve">Consideration: </w:t>
      </w:r>
      <w:r>
        <w:t>Time and package Saudi archaeological announcements to travel alongside global heritage moments, emphasising shared methods such as digital documentation, site re-study and community stewardship that connect the Kingdom's work to worldwide practice.</w:t>
      </w:r>
    </w:p>
    <w:p>
      <w:pPr>
        <w:pStyle w:val="NoSpacing"/>
      </w:pPr>
    </w:p>
    <w:p>
      <w:pPr>
        <w:pStyle w:val="NoSpacing"/>
      </w:pPr>
      <w:r>
        <w:rPr>
          <w:b/>
          <w:color w:val="000000"/>
        </w:rPr>
        <w:t>2. International commissioning and pavilion models are adaptable templates for Saudi institutions</w:t>
      </w:r>
    </w:p>
    <w:p>
      <w:pPr>
        <w:pStyle w:val="NoSpacing"/>
      </w:pPr>
      <w:r>
        <w:t>The Menil Drawing Institute's single-artist wall-drawing commission and the national-pavilion designs for Expo 2027 Belgrade illustrate cost-effective, high-visibility formats for narrating culture and identity. As the Kingdom expands its museums and plans its expo and cultural-diplomacy presence, these offer concrete, adaptable models rather than abstract ambition.</w:t>
      </w:r>
    </w:p>
    <w:p>
      <w:pPr>
        <w:pStyle w:val="NoSpacing"/>
      </w:pPr>
      <w:r>
        <w:rPr>
          <w:b/>
        </w:rPr>
        <w:t xml:space="preserve">Source: </w:t>
      </w:r>
      <w:hyperlink r:id="rId19">
        <w:r>
          <w:rPr>
            <w:color w:val="0000FF"/>
            <w:u w:val="single"/>
            <w:rFonts w:ascii="Times New Roman" w:hAnsi="Times New Roman"/>
          </w:rPr>
          <w:t xml:space="preserve">ArtAsiaPacific</w:t>
        </w:r>
      </w:hyperlink>
      <w:r>
        <w:rPr>
          <w:b w:val="0"/>
        </w:rPr>
        <w:t xml:space="preserve">, </w:t>
      </w:r>
      <w:hyperlink r:id="rId18">
        <w:r>
          <w:rPr>
            <w:color w:val="0000FF"/>
            <w:u w:val="single"/>
            <w:rFonts w:ascii="Times New Roman" w:hAnsi="Times New Roman"/>
          </w:rPr>
          <w:t xml:space="preserve">Blooloop</w:t>
        </w:r>
      </w:hyperlink>
    </w:p>
    <w:p>
      <w:pPr>
        <w:pStyle w:val="NoSpacing"/>
      </w:pPr>
      <w:r>
        <w:rPr>
          <w:b/>
        </w:rPr>
        <w:t xml:space="preserve">Consideration: </w:t>
      </w:r>
      <w:r>
        <w:t>The Museums and Visual Arts Commissions could pilot artist-commission formats of this kind, while the Ministry connects individual museum, design and expo initiatives into one coherent national cultural narrative rather than a series of isolated announcements.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ytimes.com/2026/08/17/world/middleeast/houthis-saudi-strike.html" TargetMode="External"/><Relationship Id="rId10" Type="http://schemas.openxmlformats.org/officeDocument/2006/relationships/hyperlink" Target="https://www.bloomberg.com/news/articles/2026-08-17/asian-refiners-ask-to-pick-up-saudi-oil-outside-risky-red-sea" TargetMode="External"/><Relationship Id="rId11" Type="http://schemas.openxmlformats.org/officeDocument/2006/relationships/hyperlink" Target="https://www.bloomberg.com/news/articles/2026-08-17/saudis-offer-oil-from-near-oman-in-possible-sign-of-shuttling" TargetMode="External"/><Relationship Id="rId12" Type="http://schemas.openxmlformats.org/officeDocument/2006/relationships/hyperlink" Target="https://arkeonews.net/rare-4000-year-old-enigmatic-tablet-found-intact-at-lucone-bronze-age-village-in-italy/" TargetMode="External"/><Relationship Id="rId13" Type="http://schemas.openxmlformats.org/officeDocument/2006/relationships/hyperlink" Target="https://archaeology.org/news/2026/08/17/possible-bronze-age-grave-discovered-beneath-viking-ship-burial/" TargetMode="External"/><Relationship Id="rId14" Type="http://schemas.openxmlformats.org/officeDocument/2006/relationships/hyperlink" Target="https://arkeonews.net/1600-year-old-early-christian-mosaics-discovered-in-croatia-with-a-great-sinners-inscription/" TargetMode="External"/><Relationship Id="rId15" Type="http://schemas.openxmlformats.org/officeDocument/2006/relationships/hyperlink" Target="https://archaeology.org/news/2026/08/17/ceremonial-poles-returned-to-canadian-village-site/" TargetMode="External"/><Relationship Id="rId16" Type="http://schemas.openxmlformats.org/officeDocument/2006/relationships/hyperlink" Target="https://arkeonews.net/rare-tagar-horse-engravings-discovered-in-an-early-iron-age-burial-mound-in-khakassia/" TargetMode="External"/><Relationship Id="rId17" Type="http://schemas.openxmlformats.org/officeDocument/2006/relationships/hyperlink" Target="https://blooloop.com/breeze-creative-icr-discovery-center/" TargetMode="External"/><Relationship Id="rId18" Type="http://schemas.openxmlformats.org/officeDocument/2006/relationships/hyperlink" Target="https://blooloop.com/facts-fiction-expo-2027-belgrade/" TargetMode="External"/><Relationship Id="rId19" Type="http://schemas.openxmlformats.org/officeDocument/2006/relationships/hyperlink" Target="https://www.artasiapacific.com/news/weekly-news-roundup-august-17-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