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21 September 2026</w:t>
      </w:r>
    </w:p>
    <w:p>
      <w:pPr>
        <w:pStyle w:val="NoSpacing"/>
      </w:pPr>
    </w:p>
    <w:p>
      <w:pPr>
        <w:pStyle w:val="NoSpacing"/>
      </w:pPr>
      <w:r>
        <w:rPr>
          <w:b/>
          <w:color w:val="4A86E8"/>
        </w:rPr>
        <w:t>Saudi Arabia/Regional</w:t>
      </w:r>
    </w:p>
    <w:p>
      <w:pPr>
        <w:pStyle w:val="ListBullet"/>
      </w:pPr>
      <w:r>
        <w:t>Islamic Arts Biennale Announces Curators for 2027</w:t>
      </w:r>
    </w:p>
    <w:p>
      <w:pPr>
        <w:pStyle w:val="ListBullet"/>
      </w:pPr>
      <w:r>
        <w:t>Celebrate Saudi National Day in AlUla through cultural heritage activations and luxury hospitality</w:t>
      </w:r>
    </w:p>
    <w:p>
      <w:pPr>
        <w:pStyle w:val="NoSpacing"/>
      </w:pPr>
    </w:p>
    <w:p>
      <w:pPr>
        <w:pStyle w:val="NoSpacing"/>
      </w:pPr>
      <w:r>
        <w:rPr>
          <w:b/>
          <w:color w:val="EE0000"/>
        </w:rPr>
        <w:t>Negative Articles</w:t>
      </w:r>
    </w:p>
    <w:p>
      <w:pPr>
        <w:pStyle w:val="ListBullet"/>
      </w:pPr>
      <w:r>
        <w:t>Iran-backed Houthi rebels warn against joining Saudi Arabia in Yemen's growing civil war</w:t>
      </w:r>
    </w:p>
    <w:p>
      <w:pPr>
        <w:pStyle w:val="ListBullet"/>
      </w:pPr>
      <w:r>
        <w:t>Yemen warns Saudi escalation will draw stronger response</w:t>
      </w:r>
    </w:p>
    <w:p>
      <w:pPr>
        <w:pStyle w:val="ListBullet"/>
      </w:pPr>
      <w:r>
        <w:t>Trump Gets Caught in a Dilemma Over a Saudi Plea for Military Help</w:t>
      </w:r>
    </w:p>
    <w:p>
      <w:pPr>
        <w:pStyle w:val="ListBullet"/>
      </w:pPr>
      <w:r>
        <w:t>How Saudi oil scientists ended up working on the world's most important climate reports</w:t>
      </w:r>
    </w:p>
    <w:p>
      <w:pPr>
        <w:pStyle w:val="NoSpacing"/>
      </w:pPr>
    </w:p>
    <w:p>
      <w:pPr>
        <w:pStyle w:val="NoSpacing"/>
      </w:pPr>
      <w:r>
        <w:rPr>
          <w:b/>
          <w:color w:val="4A86E8"/>
        </w:rPr>
        <w:t>Global</w:t>
      </w:r>
    </w:p>
    <w:p>
      <w:pPr>
        <w:pStyle w:val="ListBullet"/>
      </w:pPr>
      <w:r>
        <w:t>Hundreds gather at Kennedy Center to protest Trump's attacks</w:t>
      </w:r>
    </w:p>
    <w:p>
      <w:pPr>
        <w:pStyle w:val="ListBullet"/>
      </w:pPr>
      <w:r>
        <w:t>New Lawsuit Reopens Decades-Long Legal Battle Over Nazi-Looted Painting</w:t>
      </w:r>
    </w:p>
    <w:p>
      <w:pPr>
        <w:pStyle w:val="ListBullet"/>
      </w:pPr>
      <w:r>
        <w:t>8,000-Year-Old 'Guardians of Grain' Discovered in a Neolithic House</w:t>
      </w:r>
    </w:p>
    <w:p>
      <w:pPr>
        <w:pStyle w:val="ListBullet"/>
      </w:pPr>
      <w:r>
        <w:t>A Legendary Chinese Empress May Lie in a Royal Tomb Surrounded by 45 Mysterious Graves</w:t>
      </w:r>
    </w:p>
    <w:p>
      <w:pPr>
        <w:pStyle w:val="ListBullet"/>
      </w:pPr>
      <w:r>
        <w:t>'Resident Evil' Box Office: Zach Cregger Reboot Surpasses Expectations</w:t>
      </w:r>
    </w:p>
    <w:p>
      <w:pPr>
        <w:pStyle w:val="ListBullet"/>
      </w:pPr>
      <w:r>
        <w:t>Bugatti unveils Miami skyscraper as first US branded residence</w:t>
      </w:r>
    </w:p>
    <w:p>
      <w:pPr>
        <w:pStyle w:val="ListBullet"/>
      </w:pPr>
      <w:r>
        <w:t>The Sacred Ordinary: Studio Ghibli and the Ritual of Coming Home</w:t>
      </w:r>
    </w:p>
    <w:p>
      <w:pPr>
        <w:pStyle w:val="NoSpacing"/>
      </w:pPr>
    </w:p>
    <w:p>
      <w:r>
        <w:br w:type="page"/>
      </w:r>
    </w:p>
    <w:p>
      <w:pPr>
        <w:pStyle w:val="NoSpacing"/>
      </w:pPr>
      <w:r>
        <w:rPr>
          <w:b/>
          <w:color w:val="4A86E8"/>
        </w:rPr>
        <w:t>Saudi Arabia/Regional</w:t>
      </w:r>
    </w:p>
    <w:p>
      <w:pPr>
        <w:pStyle w:val="NoSpacing"/>
      </w:pPr>
      <w:r>
        <w:rPr>
          <w:b/>
          <w:color w:val="000000"/>
        </w:rPr>
        <w:t>Visual Arts:</w:t>
      </w:r>
    </w:p>
    <w:p>
      <w:pPr>
        <w:pStyle w:val="ListBullet"/>
      </w:pPr>
      <w:r>
        <w:rPr>
          <w:b w:val="0"/>
        </w:rPr>
        <w:t>The Diriyah Biennale Foundation has named the four lead curators for the third Islamic Arts Biennale, which will run from November 2027 to March 2028 at the Western Hajj Terminal in Jeddah: Nada Raza of the Alserkal Arts Foundation, former Christie's Islamic art head William Robinson, Oxford scholar Alain George, and Idries Trevathan, previously chief curator at Ithra in Dhahran. Announcing an internationally-networked curatorial team more than two years ahead points to a maturing approach to programming a flagship event that has become central to the Kingdom's positioning in the global Islamic-art conversation. The biennale is organised by the Diriyah Biennale Foundation rather than by the Ministry directly. (</w:t>
      </w:r>
      <w:hyperlink r:id="rId9">
        <w:r>
          <w:rPr>
            <w:color w:val="0000FF"/>
            <w:u w:val="single"/>
            <w:rFonts w:ascii="Times New Roman" w:hAnsi="Times New Roman"/>
          </w:rPr>
          <w:t xml:space="preserve">ArtDependence</w:t>
        </w:r>
      </w:hyperlink>
      <w:r>
        <w:rPr>
          <w:b w:val="0"/>
        </w:rPr>
        <w:t>)</w:t>
      </w:r>
    </w:p>
    <w:p>
      <w:pPr>
        <w:pStyle w:val="NoSpacing"/>
      </w:pPr>
      <w:r>
        <w:rPr>
          <w:b/>
          <w:color w:val="000000"/>
        </w:rPr>
        <w:t>Heritage:</w:t>
      </w:r>
    </w:p>
    <w:p>
      <w:pPr>
        <w:pStyle w:val="ListBullet"/>
      </w:pPr>
      <w:r>
        <w:rPr>
          <w:b w:val="0"/>
        </w:rPr>
        <w:t>AlUla is marking the 96th Saudi National Day (23–24 September) with a programme of heritage-led activations across its districts, from performances of the Ardah sword dance and traditional embroidery workshops in the AlJadidah Arts District to a "Qissa bi Qissa" storytelling series using UNESCO's Story Circles methodology and nightly screenings of Saudi short films, staged alongside the concurrent AlUla Dates Season. Delivered by the Royal Commission for AlUla, the programme shows how the Kingdom is threading intangible heritage and living craft through its national-day celebrations rather than treating them as purely commemorative. (</w:t>
      </w:r>
      <w:hyperlink r:id="rId10">
        <w:r>
          <w:rPr>
            <w:color w:val="0000FF"/>
            <w:u w:val="single"/>
            <w:rFonts w:ascii="Times New Roman" w:hAnsi="Times New Roman"/>
          </w:rPr>
          <w:t xml:space="preserve">Mid-East.info</w:t>
        </w:r>
      </w:hyperlink>
      <w:r>
        <w:rPr>
          <w:b w:val="0"/>
        </w:rPr>
        <w:t>)</w:t>
      </w:r>
    </w:p>
    <w:p>
      <w:pPr>
        <w:pStyle w:val="NoSpacing"/>
      </w:pPr>
    </w:p>
    <w:p>
      <w:pPr>
        <w:pStyle w:val="NoSpacing"/>
      </w:pPr>
      <w:r>
        <w:rPr>
          <w:b/>
          <w:color w:val="EE0000"/>
        </w:rPr>
        <w:t>Negative Articles</w:t>
      </w:r>
    </w:p>
    <w:p>
      <w:pPr>
        <w:pStyle w:val="ListBullet"/>
      </w:pPr>
      <w:r>
        <w:rPr>
          <w:b w:val="0"/>
        </w:rPr>
        <w:t>The Associated Press reports that Houthi officials have warned other parties against joining Saudi Arabia in Yemen's widening conflict, vowing to sustain attacks until what they call a decade-long blockade ends, after the group's first missile fired at Riyadh since the 2022 ceasefire. The escalation pulls Saudi Arabia back into an active regional-security narrative at a moment when the Ministry's cultural and tourism messaging depends on a perception of stability. (</w:t>
      </w:r>
      <w:hyperlink r:id="rId11">
        <w:r>
          <w:rPr>
            <w:color w:val="0000FF"/>
            <w:u w:val="single"/>
            <w:rFonts w:ascii="Times New Roman" w:hAnsi="Times New Roman"/>
          </w:rPr>
          <w:t xml:space="preserve">Associated Press</w:t>
        </w:r>
      </w:hyperlink>
      <w:r>
        <w:rPr>
          <w:b w:val="0"/>
        </w:rPr>
        <w:t>)</w:t>
      </w:r>
    </w:p>
    <w:p>
      <w:pPr>
        <w:pStyle w:val="ListBullet"/>
      </w:pPr>
      <w:r>
        <w:rPr>
          <w:b w:val="0"/>
        </w:rPr>
        <w:t>Iranian state broadcaster Press TV frames the same escalation with Saudi Arabia cast squarely as the aggressor, citing Sanaa's claim of 732 Saudi airstrikes and describing a "tyrannical siege" lasting nearly twelve years. The framing, from a state-aligned outlet whose coverage reflects Tehran's interests rather than neutral reporting, is a reminder that adversarial narratives on the conflict circulate internationally and can colour how Saudi Arabia's wider profile is read. (</w:t>
      </w:r>
      <w:hyperlink r:id="rId12">
        <w:r>
          <w:rPr>
            <w:color w:val="0000FF"/>
            <w:u w:val="single"/>
            <w:rFonts w:ascii="Times New Roman" w:hAnsi="Times New Roman"/>
          </w:rPr>
          <w:t xml:space="preserve">Press TV</w:t>
        </w:r>
      </w:hyperlink>
      <w:r>
        <w:rPr>
          <w:b w:val="0"/>
        </w:rPr>
        <w:t>)</w:t>
      </w:r>
    </w:p>
    <w:p>
      <w:pPr>
        <w:pStyle w:val="ListBullet"/>
      </w:pPr>
      <w:r>
        <w:rPr>
          <w:b w:val="0"/>
        </w:rPr>
        <w:t>The New York Times reports that the escalation has put Washington in a difficult position over a Saudi request for military help, testing the US–Saudi security relationship as the Houthi threat grows. The story keeps Saudi Arabia framed through its dependence on external security guarantees, a lens that sits awkwardly against the self-reliant Vision 2030 narrative the Kingdom projects culturally. (</w:t>
      </w:r>
      <w:hyperlink r:id="rId13">
        <w:r>
          <w:rPr>
            <w:color w:val="0000FF"/>
            <w:u w:val="single"/>
            <w:rFonts w:ascii="Times New Roman" w:hAnsi="Times New Roman"/>
          </w:rPr>
          <w:t xml:space="preserve">The New York Times</w:t>
        </w:r>
      </w:hyperlink>
      <w:r>
        <w:rPr>
          <w:b w:val="0"/>
        </w:rPr>
        <w:t>)</w:t>
      </w:r>
    </w:p>
    <w:p>
      <w:pPr>
        <w:pStyle w:val="ListBullet"/>
      </w:pPr>
      <w:r>
        <w:rPr>
          <w:b w:val="0"/>
        </w:rPr>
        <w:t>The Guardian examines how Saudi oil scientists came to hold influential roles in shaping leading international climate-science assessments, sharpening scrutiny of the Kingdom's dual position as a major hydrocarbon producer and an aspiring climate and sustainability voice. Though not a cultural story, it touches the credibility of the broader soft-power and Vision 2030 sustainability messaging that cultural programming increasingly leans on. (</w:t>
      </w:r>
      <w:hyperlink r:id="rId14">
        <w:r>
          <w:rPr>
            <w:color w:val="0000FF"/>
            <w:u w:val="single"/>
            <w:rFonts w:ascii="Times New Roman" w:hAnsi="Times New Roman"/>
          </w:rPr>
          <w:t xml:space="preserve">The Guardian</w:t>
        </w:r>
      </w:hyperlink>
      <w:r>
        <w:rPr>
          <w:b w:val="0"/>
        </w:rPr>
        <w:t>)</w:t>
      </w:r>
    </w:p>
    <w:p>
      <w:pPr>
        <w:pStyle w:val="NoSpacing"/>
      </w:pPr>
    </w:p>
    <w:p>
      <w:pPr>
        <w:pStyle w:val="NoSpacing"/>
      </w:pPr>
      <w:r>
        <w:rPr>
          <w:b/>
          <w:color w:val="4A86E8"/>
        </w:rPr>
        <w:t>Global</w:t>
      </w:r>
    </w:p>
    <w:p>
      <w:pPr>
        <w:pStyle w:val="NoSpacing"/>
      </w:pPr>
      <w:r>
        <w:rPr>
          <w:b/>
          <w:color w:val="000000"/>
        </w:rPr>
        <w:t>Theatre and Performing Arts:</w:t>
      </w:r>
    </w:p>
    <w:p>
      <w:pPr>
        <w:pStyle w:val="ListBullet"/>
      </w:pPr>
      <w:r>
        <w:rPr>
          <w:b w:val="0"/>
        </w:rPr>
        <w:t>Around 1,500 people formed a human chain around the John F. Kennedy Center for the Performing Arts in Washington to protest the US administration's interventions in the institution, The Art Newspaper reports. The demonstration underlines how arts institutions have become political flashpoints in the United States, a useful comparator for governments elsewhere weighing the relationship between cultural bodies and the state. (</w:t>
      </w:r>
      <w:hyperlink r:id="rId15">
        <w:r>
          <w:rPr>
            <w:color w:val="0000FF"/>
            <w:u w:val="single"/>
            <w:rFonts w:ascii="Times New Roman" w:hAnsi="Times New Roman"/>
          </w:rPr>
          <w:t xml:space="preserve">The Art Newspaper</w:t>
        </w:r>
      </w:hyperlink>
      <w:r>
        <w:rPr>
          <w:b w:val="0"/>
        </w:rPr>
        <w:t>)</w:t>
      </w:r>
    </w:p>
    <w:p>
      <w:pPr>
        <w:pStyle w:val="NoSpacing"/>
      </w:pPr>
      <w:r>
        <w:rPr>
          <w:b/>
          <w:color w:val="000000"/>
        </w:rPr>
        <w:t>Museums:</w:t>
      </w:r>
    </w:p>
    <w:p>
      <w:pPr>
        <w:pStyle w:val="ListBullet"/>
      </w:pPr>
      <w:r>
        <w:rPr>
          <w:b w:val="0"/>
        </w:rPr>
        <w:t>A new lawsuit has reopened a decades-long dispute over a Nazi-looted Cranach work, with the Jewish Federation of Greater Los Angeles suing the Norton Simon Museum for the return of "Adam and Eve" under California's new restitution law, Ocula reports. Restitution is reshaping how museums worldwide manage contested collections, a live governance issue for any institution building acquisition and provenance standards, including the Kingdom's fast-expanding museum sector. (</w:t>
      </w:r>
      <w:hyperlink r:id="rId16">
        <w:r>
          <w:rPr>
            <w:color w:val="0000FF"/>
            <w:u w:val="single"/>
            <w:rFonts w:ascii="Times New Roman" w:hAnsi="Times New Roman"/>
          </w:rPr>
          <w:t xml:space="preserve">Ocula</w:t>
        </w:r>
      </w:hyperlink>
      <w:r>
        <w:rPr>
          <w:b w:val="0"/>
        </w:rPr>
        <w:t>)</w:t>
      </w:r>
    </w:p>
    <w:p>
      <w:pPr>
        <w:pStyle w:val="NoSpacing"/>
      </w:pPr>
      <w:r>
        <w:rPr>
          <w:b/>
          <w:color w:val="000000"/>
        </w:rPr>
        <w:t>Heritage:</w:t>
      </w:r>
    </w:p>
    <w:p>
      <w:pPr>
        <w:pStyle w:val="ListBullet"/>
      </w:pPr>
      <w:r>
        <w:rPr>
          <w:b w:val="0"/>
        </w:rPr>
        <w:t>Archaeologists have uncovered two unusual 8,000-year-old ceramic figurines, dubbed "Guardians of Grain", inside a Neolithic house at a settlement near Lake Dojran in North Macedonia, Arkeonews reports. The find adds to a richer global picture of early agricultural societies and the symbolic objects that accompanied them. (</w:t>
      </w:r>
      <w:hyperlink r:id="rId17">
        <w:r>
          <w:rPr>
            <w:color w:val="0000FF"/>
            <w:u w:val="single"/>
            <w:rFonts w:ascii="Times New Roman" w:hAnsi="Times New Roman"/>
          </w:rPr>
          <w:t xml:space="preserve">Arkeonews</w:t>
        </w:r>
      </w:hyperlink>
      <w:r>
        <w:rPr>
          <w:b w:val="0"/>
        </w:rPr>
        <w:t>)</w:t>
      </w:r>
    </w:p>
    <w:p>
      <w:pPr>
        <w:pStyle w:val="ListBullet"/>
      </w:pPr>
      <w:r>
        <w:rPr>
          <w:b w:val="0"/>
        </w:rPr>
        <w:t>A vast royal tomb in China, ringed by 45 satellite graves, may hold a legendary empress, Arkeonews reports, describing one of the more striking archaeological discoveries of the season. Such finds sustain the international public appetite for heritage and archaeology storytelling that Saudi Arabia's own sites, from Hegra to Al-Faw, are increasingly part of. (</w:t>
      </w:r>
      <w:hyperlink r:id="rId18">
        <w:r>
          <w:rPr>
            <w:color w:val="0000FF"/>
            <w:u w:val="single"/>
            <w:rFonts w:ascii="Times New Roman" w:hAnsi="Times New Roman"/>
          </w:rPr>
          <w:t xml:space="preserve">Arkeonews</w:t>
        </w:r>
      </w:hyperlink>
      <w:r>
        <w:rPr>
          <w:b w:val="0"/>
        </w:rPr>
        <w:t>)</w:t>
      </w:r>
    </w:p>
    <w:p>
      <w:pPr>
        <w:pStyle w:val="NoSpacing"/>
      </w:pPr>
      <w:r>
        <w:rPr>
          <w:b/>
          <w:color w:val="000000"/>
        </w:rPr>
        <w:t>Film:</w:t>
      </w:r>
    </w:p>
    <w:p>
      <w:pPr>
        <w:pStyle w:val="ListBullet"/>
      </w:pPr>
      <w:r>
        <w:rPr>
          <w:b w:val="0"/>
        </w:rPr>
        <w:t>Zach Cregger's "Resident Evil" reboot opened well above forecasts with around $60m domestically, the franchise's biggest debut in its 24-year history, extending a strong year for horror at the global box office, Variety reports. The result underlines the commercial durability of established intellectual property and genre cinema, a dynamic relevant to Saudi Arabia's growing production and exhibition sector. (</w:t>
      </w:r>
      <w:hyperlink r:id="rId19">
        <w:r>
          <w:rPr>
            <w:color w:val="0000FF"/>
            <w:u w:val="single"/>
            <w:rFonts w:ascii="Times New Roman" w:hAnsi="Times New Roman"/>
          </w:rPr>
          <w:t xml:space="preserve">Variety</w:t>
        </w:r>
      </w:hyperlink>
      <w:r>
        <w:rPr>
          <w:b w:val="0"/>
        </w:rPr>
        <w:t>)</w:t>
      </w:r>
    </w:p>
    <w:p>
      <w:pPr>
        <w:pStyle w:val="NoSpacing"/>
      </w:pPr>
      <w:r>
        <w:rPr>
          <w:b/>
          <w:color w:val="000000"/>
        </w:rPr>
        <w:t>Architecture and Design:</w:t>
      </w:r>
    </w:p>
    <w:p>
      <w:pPr>
        <w:pStyle w:val="ListBullet"/>
      </w:pPr>
      <w:r>
        <w:rPr>
          <w:b w:val="0"/>
        </w:rPr>
        <w:t>Dezeen reports that Bugatti has unveiled its first US branded residence, a 60-storey tower on the Miami River designed by Brandon Haw Architecture with interiors by Yabu Pushelberg. The project reflects the accelerating luxury branded-residence trend that Gulf developers, including in Saudi Arabia, are also pursuing. (</w:t>
      </w:r>
      <w:hyperlink r:id="rId20">
        <w:r>
          <w:rPr>
            <w:color w:val="0000FF"/>
            <w:u w:val="single"/>
            <w:rFonts w:ascii="Times New Roman" w:hAnsi="Times New Roman"/>
          </w:rPr>
          <w:t xml:space="preserve">Dezeen</w:t>
        </w:r>
      </w:hyperlink>
      <w:r>
        <w:rPr>
          <w:b w:val="0"/>
        </w:rPr>
        <w:t>)</w:t>
      </w:r>
    </w:p>
    <w:p>
      <w:pPr>
        <w:pStyle w:val="ListBullet"/>
      </w:pPr>
      <w:r>
        <w:rPr>
          <w:b w:val="0"/>
        </w:rPr>
        <w:t>ArchDaily publishes a reflective essay on how Studio Ghibli's depictions of domestic space shape ideas of home, ritual and belonging in architecture. The piece is a reminder of how popular culture continues to inform contemporary design thinking about everyday environments. (</w:t>
      </w:r>
      <w:hyperlink r:id="rId21">
        <w:r>
          <w:rPr>
            <w:color w:val="0000FF"/>
            <w:u w:val="single"/>
            <w:rFonts w:ascii="Times New Roman" w:hAnsi="Times New Roman"/>
          </w:rPr>
          <w:t xml:space="preserve">ArchDaily</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Regional security escalation reframes the Saudi narrative</w:t>
      </w:r>
    </w:p>
    <w:p>
      <w:pPr>
        <w:pStyle w:val="NoSpacing"/>
      </w:pPr>
      <w:r>
        <w:t>A cluster of same-day coverage tracked a sharp escalation in the Yemen conflict: the Associated Press reported Houthi warnings of sustained attacks and a "blockade for blockade" after the first missile aimed at Riyadh since 2022, while The New York Times described Washington's dilemma over a Saudi request for military help. Iranian state media framed the same events with Saudi Arabia as the aggressor, citing hundreds of Saudi airstrikes and a years-long "siege" — an adversarial narrative circulating alongside the factual reporting.</w:t>
      </w:r>
    </w:p>
    <w:p>
      <w:pPr>
        <w:pStyle w:val="NoSpacing"/>
      </w:pPr>
      <w:r>
        <w:rPr>
          <w:b/>
        </w:rPr>
        <w:t xml:space="preserve">Source: </w:t>
      </w:r>
      <w:hyperlink r:id="rId11">
        <w:r>
          <w:rPr>
            <w:color w:val="0000FF"/>
            <w:u w:val="single"/>
            <w:rFonts w:ascii="Times New Roman" w:hAnsi="Times New Roman"/>
          </w:rPr>
          <w:t xml:space="preserve">Associated Press</w:t>
        </w:r>
      </w:hyperlink>
      <w:r>
        <w:rPr>
          <w:b w:val="0"/>
        </w:rPr>
        <w:t xml:space="preserve">, </w:t>
      </w:r>
      <w:hyperlink r:id="rId13">
        <w:r>
          <w:rPr>
            <w:color w:val="0000FF"/>
            <w:u w:val="single"/>
            <w:rFonts w:ascii="Times New Roman" w:hAnsi="Times New Roman"/>
          </w:rPr>
          <w:t xml:space="preserve">The New York Times</w:t>
        </w:r>
      </w:hyperlink>
      <w:r>
        <w:rPr>
          <w:b w:val="0"/>
        </w:rPr>
        <w:t xml:space="preserve">, </w:t>
      </w:r>
      <w:hyperlink r:id="rId12">
        <w:r>
          <w:rPr>
            <w:color w:val="0000FF"/>
            <w:u w:val="single"/>
            <w:rFonts w:ascii="Times New Roman" w:hAnsi="Times New Roman"/>
          </w:rPr>
          <w:t xml:space="preserve">Press TV</w:t>
        </w:r>
      </w:hyperlink>
    </w:p>
    <w:p>
      <w:pPr>
        <w:pStyle w:val="NoSpacing"/>
      </w:pPr>
      <w:r>
        <w:rPr>
          <w:b/>
        </w:rPr>
        <w:t xml:space="preserve">Consideration: </w:t>
      </w:r>
      <w:r>
        <w:t>Keep the Ministry's cultural and heritage messaging deliberately distinct from the security narrative, foregrounding public access, Saudi talent and institutional delivery, while remaining aware that adversarial framings of the conflict are in international circulation and may colour how otherwise unrelated Saudi cultural stories are received.</w:t>
      </w:r>
    </w:p>
    <w:p>
      <w:pPr>
        <w:pStyle w:val="NoSpacing"/>
      </w:pPr>
    </w:p>
    <w:p>
      <w:pPr>
        <w:pStyle w:val="NoSpacing"/>
      </w:pPr>
      <w:r>
        <w:rPr>
          <w:b/>
          <w:color w:val="000000"/>
        </w:rPr>
        <w:t>2. Climate-credibility scrutiny touches the soft-power story</w:t>
      </w:r>
    </w:p>
    <w:p>
      <w:pPr>
        <w:pStyle w:val="NoSpacing"/>
      </w:pPr>
      <w:r>
        <w:t>The Guardian examined the influence of Saudi oil scientists in shaping leading international climate assessments, sharpening scrutiny of the Kingdom's position as both a major hydrocarbon producer and an aspiring sustainability and climate voice. Though not a cultural story in itself, it bears on the credibility of the broader Vision 2030 soft-power narrative that cultural programming increasingly draws on.</w:t>
      </w:r>
    </w:p>
    <w:p>
      <w:pPr>
        <w:pStyle w:val="NoSpacing"/>
      </w:pPr>
      <w:r>
        <w:rPr>
          <w:b/>
        </w:rPr>
        <w:t xml:space="preserve">Source: </w:t>
      </w:r>
      <w:hyperlink r:id="rId14">
        <w:r>
          <w:rPr>
            <w:color w:val="0000FF"/>
            <w:u w:val="single"/>
            <w:rFonts w:ascii="Times New Roman" w:hAnsi="Times New Roman"/>
          </w:rPr>
          <w:t xml:space="preserve">The Guardian</w:t>
        </w:r>
      </w:hyperlink>
    </w:p>
    <w:p>
      <w:pPr>
        <w:pStyle w:val="NoSpacing"/>
      </w:pPr>
      <w:r>
        <w:rPr>
          <w:b/>
        </w:rPr>
        <w:t xml:space="preserve">Consideration: </w:t>
      </w:r>
      <w:r>
        <w:t>Where cultural initiatives intersect with sustainability messaging — regenerative heritage sites, low-impact tourism, AlUla's environmental positioning — anchor claims in concrete, verifiable delivery rather than aspiration, insulating the cultural story from wider climate-credibility scrutiny.</w:t>
      </w:r>
    </w:p>
    <w:p>
      <w:pPr>
        <w:pStyle w:val="NoSpacing"/>
      </w:pPr>
    </w:p>
    <w:p>
      <w:pPr>
        <w:pStyle w:val="NoSpacing"/>
      </w:pPr>
      <w:r>
        <w:rPr>
          <w:b/>
          <w:color w:val="A66500"/>
        </w:rPr>
        <w:t>Opportunities</w:t>
      </w:r>
    </w:p>
    <w:p>
      <w:pPr>
        <w:pStyle w:val="NoSpacing"/>
      </w:pPr>
      <w:r>
        <w:rPr>
          <w:b/>
          <w:color w:val="000000"/>
        </w:rPr>
        <w:t>1. Cultural institution-building and National Day heritage momentum</w:t>
      </w:r>
    </w:p>
    <w:p>
      <w:pPr>
        <w:pStyle w:val="NoSpacing"/>
      </w:pPr>
      <w:r>
        <w:t>Two strands of Saudi cultural coverage ran in the window: the Diriyah Biennale Foundation named an internationally-networked curatorial team for the 2027 Islamic Arts Biennale in Jeddah, while the Royal Commission for AlUla wrapped intangible heritage — the Ardah, traditional craft, oral storytelling and Saudi film — into its 96th National Day programme. Together they show the Kingdom advancing on two fronts at once: durable, globally-credible cultural institutions and living-heritage public programming tied to national identity.</w:t>
      </w:r>
    </w:p>
    <w:p>
      <w:pPr>
        <w:pStyle w:val="NoSpacing"/>
      </w:pPr>
      <w:r>
        <w:rPr>
          <w:b/>
        </w:rPr>
        <w:t xml:space="preserve">Source: </w:t>
      </w:r>
      <w:hyperlink r:id="rId9">
        <w:r>
          <w:rPr>
            <w:color w:val="0000FF"/>
            <w:u w:val="single"/>
            <w:rFonts w:ascii="Times New Roman" w:hAnsi="Times New Roman"/>
          </w:rPr>
          <w:t xml:space="preserve">ArtDependence</w:t>
        </w:r>
      </w:hyperlink>
      <w:r>
        <w:rPr>
          <w:b w:val="0"/>
        </w:rPr>
        <w:t xml:space="preserve">, </w:t>
      </w:r>
      <w:hyperlink r:id="rId10">
        <w:r>
          <w:rPr>
            <w:color w:val="0000FF"/>
            <w:u w:val="single"/>
            <w:rFonts w:ascii="Times New Roman" w:hAnsi="Times New Roman"/>
          </w:rPr>
          <w:t xml:space="preserve">Mid-East.info</w:t>
        </w:r>
      </w:hyperlink>
    </w:p>
    <w:p>
      <w:pPr>
        <w:pStyle w:val="NoSpacing"/>
      </w:pPr>
      <w:r>
        <w:rPr>
          <w:b/>
        </w:rPr>
        <w:t xml:space="preserve">Consideration: </w:t>
      </w:r>
      <w:r>
        <w:t>Connect these as one narrative — institutions and intangible heritage reinforcing each other — rather than treating them as separate announcements, positioning Saudi cultural development as both internationally serious and rooted in local tradition. Attribution should remain accurate: the biennale sits with the Diriyah Biennale Foundation and the AlUla programme with the Royal Commission for AlUla, not the Ministry directly.</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rtdependence.com/articles/islamic-arts-biennale-announces-curators-for-2027/" TargetMode="External"/><Relationship Id="rId10" Type="http://schemas.openxmlformats.org/officeDocument/2006/relationships/hyperlink" Target="https://mid-east.info/celebrate-saudi-national-day-in-alula-through-cultural-heritage-activations-and-luxury-hospitality/" TargetMode="External"/><Relationship Id="rId11" Type="http://schemas.openxmlformats.org/officeDocument/2006/relationships/hyperlink" Target="https://www.clickorlando.com/news/world/2026/09/20/iran-backed-houthi-rebels-warn-against-joining-saudi-arabia-in-yemens-growing-civil-war/" TargetMode="External"/><Relationship Id="rId12" Type="http://schemas.openxmlformats.org/officeDocument/2006/relationships/hyperlink" Target="https://www.presstv.co.uk/Detail/2026/09/20/776657/sanaa-warns-saudi-arabia-of-response-" TargetMode="External"/><Relationship Id="rId13" Type="http://schemas.openxmlformats.org/officeDocument/2006/relationships/hyperlink" Target="https://www.nytimes.com/2026/09/20/us/politics/trump-yemen-houthis-red-sea-iran.html" TargetMode="External"/><Relationship Id="rId14" Type="http://schemas.openxmlformats.org/officeDocument/2006/relationships/hyperlink" Target="https://www.theguardian.com/environment/2026/sep/21/saudi-arabia-aramco-oil-scientists-ipcc-climate-reports" TargetMode="External"/><Relationship Id="rId15" Type="http://schemas.openxmlformats.org/officeDocument/2006/relationships/hyperlink" Target="https://www.theartnewspaper.com/2026/09/21/trump-kennedy-center-protest-hands-off-the-arts" TargetMode="External"/><Relationship Id="rId16" Type="http://schemas.openxmlformats.org/officeDocument/2006/relationships/hyperlink" Target="https://ocula.com/magazine/art-news/nazi-looted-lawsuit-norton-simon-museum-cranach/" TargetMode="External"/><Relationship Id="rId17" Type="http://schemas.openxmlformats.org/officeDocument/2006/relationships/hyperlink" Target="https://arkeonews.net/8000-year-old-guardians-of-grain-discovered-in-a-neolithic-house/" TargetMode="External"/><Relationship Id="rId18" Type="http://schemas.openxmlformats.org/officeDocument/2006/relationships/hyperlink" Target="https://arkeonews.net/a-legendary-chinese-empress-may-lie-in-a-royal-tomb-surrounded-by-45-mysterious-graves/" TargetMode="External"/><Relationship Id="rId19" Type="http://schemas.openxmlformats.org/officeDocument/2006/relationships/hyperlink" Target="https://variety.com/2026/film/box-office/resident-evil-box-office-zach-cregger-reboot-opening-weekend-record-breaking-1236867659/" TargetMode="External"/><Relationship Id="rId20" Type="http://schemas.openxmlformats.org/officeDocument/2006/relationships/hyperlink" Target="https://www.dezeen.com/2026/09/20/bugatti-skyscraper-miami-brandon-haw-yabu-pushelberg/" TargetMode="External"/><Relationship Id="rId21" Type="http://schemas.openxmlformats.org/officeDocument/2006/relationships/hyperlink" Target="https://www.archdaily.com/1185096/the-sacred-ordinary-studio-ghibli-and-the-ritual-of-coming-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