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 September 2026</w:t>
      </w:r>
    </w:p>
    <w:p>
      <w:pPr>
        <w:pStyle w:val="NoSpacing"/>
      </w:pPr>
    </w:p>
    <w:p>
      <w:pPr>
        <w:pStyle w:val="NoSpacing"/>
      </w:pPr>
      <w:r>
        <w:rPr>
          <w:b/>
          <w:color w:val="4A86E8"/>
        </w:rPr>
        <w:t>Saudi Arabia/Regional</w:t>
      </w:r>
    </w:p>
    <w:p>
      <w:pPr>
        <w:pStyle w:val="ListBullet"/>
      </w:pPr>
      <w:r>
        <w:t>Saudi Arabia expands fashion education and industry pathways</w:t>
      </w:r>
    </w:p>
    <w:p>
      <w:pPr>
        <w:pStyle w:val="ListBullet"/>
      </w:pPr>
      <w:r>
        <w:t>What's Driving Saudi Arabia's Beauty Transformation</w:t>
      </w:r>
    </w:p>
    <w:p>
      <w:pPr>
        <w:pStyle w:val="ListBullet"/>
      </w:pPr>
      <w:r>
        <w:t>Stop exporting your UAE strategy to Saudi</w:t>
      </w:r>
    </w:p>
    <w:p>
      <w:pPr>
        <w:pStyle w:val="NoSpacing"/>
      </w:pPr>
    </w:p>
    <w:p>
      <w:pPr>
        <w:pStyle w:val="NoSpacing"/>
      </w:pPr>
      <w:r>
        <w:rPr>
          <w:b/>
          <w:color w:val="EE0000"/>
        </w:rPr>
        <w:t>Negative Articles</w:t>
      </w:r>
    </w:p>
    <w:p>
      <w:pPr>
        <w:pStyle w:val="ListBullet"/>
      </w:pPr>
      <w:r>
        <w:t>Saudi Arabia Returns to Markets With Dollar-Bond Offering</w:t>
      </w:r>
    </w:p>
    <w:p>
      <w:pPr>
        <w:pStyle w:val="NoSpacing"/>
      </w:pPr>
    </w:p>
    <w:p>
      <w:pPr>
        <w:pStyle w:val="NoSpacing"/>
      </w:pPr>
      <w:r>
        <w:rPr>
          <w:b/>
          <w:color w:val="4A86E8"/>
        </w:rPr>
        <w:t>Global</w:t>
      </w:r>
    </w:p>
    <w:p>
      <w:pPr>
        <w:pStyle w:val="ListBullet"/>
      </w:pPr>
      <w:r>
        <w:t>The art world's billionaire problem is getting worse</w:t>
      </w:r>
    </w:p>
    <w:p>
      <w:pPr>
        <w:pStyle w:val="ListBullet"/>
      </w:pPr>
      <w:r>
        <w:t>Gardener Unearths Denmark's Largest Viking Silver Hoard — 18.5 Kilograms Hidden in a Clay Pot</w:t>
      </w:r>
    </w:p>
    <w:p>
      <w:pPr>
        <w:pStyle w:val="ListBullet"/>
      </w:pPr>
      <w:r>
        <w:t>'Avengers: Secret Wars' Adds Noah Jupe To Cast In Key Role</w:t>
      </w:r>
    </w:p>
    <w:p>
      <w:pPr>
        <w:pStyle w:val="ListBullet"/>
      </w:pPr>
      <w:r>
        <w:t>Kengo Kuma awarded Andrée Putman Lifetime Achievement Award by CDA</w:t>
      </w:r>
    </w:p>
    <w:p>
      <w:pPr>
        <w:pStyle w:val="NoSpacing"/>
      </w:pPr>
    </w:p>
    <w:p>
      <w:r>
        <w:br w:type="page"/>
      </w:r>
    </w:p>
    <w:p>
      <w:pPr>
        <w:pStyle w:val="NoSpacing"/>
      </w:pPr>
      <w:r>
        <w:rPr>
          <w:b/>
          <w:color w:val="4A86E8"/>
        </w:rPr>
        <w:t>Saudi Arabia/Regional</w:t>
      </w:r>
    </w:p>
    <w:p>
      <w:pPr>
        <w:pStyle w:val="NoSpacing"/>
      </w:pPr>
      <w:r>
        <w:rPr>
          <w:b/>
          <w:color w:val="000000"/>
        </w:rPr>
        <w:t>Fashion:</w:t>
      </w:r>
    </w:p>
    <w:p>
      <w:pPr>
        <w:pStyle w:val="ListBullet"/>
      </w:pPr>
      <w:r>
        <w:rPr>
          <w:b w:val="0"/>
        </w:rPr>
        <w:t>Saudi Arabia is extending its fashion-education offer beyond design studios into an integrated pipeline spanning merchandising, manufacturing, luxury management and entrepreneurship, with Fashion Commission partnerships — including an executive master's with the Institut Français de la Mode — tying academic study to industry placement. Building talent at home matters for the Ministry's aim of converting a fast-growing consumer market into a home-grown creative industry rather than an import destination, and gives the Kingdom a durable skills-and-education story to set alongside its headline events. (</w:t>
      </w:r>
      <w:hyperlink r:id="rId9">
        <w:r>
          <w:rPr>
            <w:color w:val="0000FF"/>
            <w:u w:val="single"/>
            <w:rFonts w:ascii="Times New Roman" w:hAnsi="Times New Roman"/>
          </w:rPr>
          <w:t xml:space="preserve">FashionUnited</w:t>
        </w:r>
      </w:hyperlink>
      <w:r>
        <w:rPr>
          <w:b w:val="0"/>
        </w:rPr>
        <w:t>)</w:t>
      </w:r>
    </w:p>
    <w:p>
      <w:pPr>
        <w:pStyle w:val="ListBullet"/>
      </w:pPr>
      <w:r>
        <w:rPr>
          <w:b w:val="0"/>
        </w:rPr>
        <w:t>Business of Fashion reports that Saudi Arabia has become the GCC's largest cosmetics market — projected at around nine billion US dollars in 2026 — as social change and Vision 2030 spur demand and home-grown labels such as Moonglaze move into international retail through Sephora. The analysis frames beauty as a fast-scaling arm of the Kingdom's creative economy, a soft-power and non-oil-growth signal the Ministry can align with its wider cultural-industries narrative. (</w:t>
      </w:r>
      <w:hyperlink r:id="rId10">
        <w:r>
          <w:rPr>
            <w:color w:val="0000FF"/>
            <w:u w:val="single"/>
            <w:rFonts w:ascii="Times New Roman" w:hAnsi="Times New Roman"/>
          </w:rPr>
          <w:t xml:space="preserve">Business of Fashion</w:t>
        </w:r>
      </w:hyperlink>
      <w:r>
        <w:rPr>
          <w:b w:val="0"/>
        </w:rPr>
        <w:t>)</w:t>
      </w:r>
    </w:p>
    <w:p>
      <w:pPr>
        <w:pStyle w:val="NoSpacing"/>
      </w:pPr>
      <w:r>
        <w:rPr>
          <w:b/>
          <w:color w:val="000000"/>
        </w:rPr>
        <w:t>General:</w:t>
      </w:r>
    </w:p>
    <w:p>
      <w:pPr>
        <w:pStyle w:val="ListBullet"/>
      </w:pPr>
      <w:r>
        <w:rPr>
          <w:b w:val="0"/>
        </w:rPr>
        <w:t>In an industry op-ed, Campaign Middle East argues that brands treating Saudi Arabia as an extension of their UAE playbook misread a distinct market, pointing to different price sensitivities — Saudi VAT at 15 per cent against 5 per cent in the UAE — as well as separate routes to market and city-by-city tastes across Riyadh, Jeddah and Khobar. The piece is a useful external signal that the Kingdom's consumer culture is increasingly read abroad as its own identity rather than a Gulf monolith, reinforcing the Ministry's emphasis on a specifically Saudi cultural voice. (</w:t>
      </w:r>
      <w:hyperlink r:id="rId11">
        <w:r>
          <w:rPr>
            <w:color w:val="0000FF"/>
            <w:u w:val="single"/>
            <w:rFonts w:ascii="Times New Roman" w:hAnsi="Times New Roman"/>
          </w:rPr>
          <w:t xml:space="preserve">Campaign Middle East</w:t>
        </w:r>
      </w:hyperlink>
      <w:r>
        <w:rPr>
          <w:b w:val="0"/>
        </w:rPr>
        <w:t>)</w:t>
      </w:r>
    </w:p>
    <w:p>
      <w:pPr>
        <w:pStyle w:val="NoSpacing"/>
      </w:pPr>
    </w:p>
    <w:p>
      <w:pPr>
        <w:pStyle w:val="NoSpacing"/>
      </w:pPr>
      <w:r>
        <w:rPr>
          <w:b/>
          <w:color w:val="EE0000"/>
        </w:rPr>
        <w:t>Negative Articles</w:t>
      </w:r>
    </w:p>
    <w:p>
      <w:pPr>
        <w:pStyle w:val="ListBullet"/>
      </w:pPr>
      <w:r>
        <w:rPr>
          <w:b w:val="0"/>
        </w:rPr>
        <w:t>Bloomberg reports that Saudi Arabia has returned to international debt markets with a benchmark-sized dollar-bond offering, part of a 2026 borrowing programme of roughly 58 billion US dollars, as the economic fallout of the regional conflict widens the budget deficit and pressures oil revenues. A sovereign bond sale is routine in itself, but the war-strain and deficit framing keeps the Kingdom's fiscal headroom under international scrutiny at a moment when it is funding an ambitious cultural-investment agenda. (</w:t>
      </w:r>
      <w:hyperlink r:id="rId12">
        <w:r>
          <w:rPr>
            <w:color w:val="0000FF"/>
            <w:u w:val="single"/>
            <w:rFonts w:ascii="Times New Roman" w:hAnsi="Times New Roman"/>
          </w:rPr>
          <w:t xml:space="preserve">Bloomberg</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The Art Newspaper reports that roughly 150 works accounted for close to 60 per cent of global auction value in the first half of 2026, evidence that the top of the art market is concentrating in ever-fewer ultra-wealthy hands. The trend matters for institutions building new collections and biennales in the Gulf, since a market this top-heavy shapes what is available, and at what price, for museums and buyers entering it now. (</w:t>
      </w:r>
      <w:hyperlink r:id="rId13">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A gardener in Denmark has unearthed the country's largest Viking-age silver hoard — some 18.5 kilograms across around 700 pieces, including Arabic dirhams alongside Anglo-Saxon coins — Arkeonews reports. Beyond the find itself, the presence of Islamic-world coinage in a tenth-century Scandinavian hoard is a reminder of how far Arabian trade and cultural exchange once reached, the kind of connected-heritage narrative Saudi institutions increasingly draw on in their own storytelling. (</w:t>
      </w:r>
      <w:hyperlink r:id="rId14">
        <w:r>
          <w:rPr>
            <w:color w:val="0000FF"/>
            <w:u w:val="single"/>
            <w:rFonts w:ascii="Times New Roman" w:hAnsi="Times New Roman"/>
          </w:rPr>
          <w:t xml:space="preserve">Arkeonews</w:t>
        </w:r>
      </w:hyperlink>
      <w:r>
        <w:rPr>
          <w:b w:val="0"/>
        </w:rPr>
        <w:t>)</w:t>
      </w:r>
    </w:p>
    <w:p>
      <w:pPr>
        <w:pStyle w:val="NoSpacing"/>
      </w:pPr>
      <w:r>
        <w:rPr>
          <w:b/>
          <w:color w:val="000000"/>
        </w:rPr>
        <w:t>Film:</w:t>
      </w:r>
    </w:p>
    <w:p>
      <w:pPr>
        <w:pStyle w:val="ListBullet"/>
      </w:pPr>
      <w:r>
        <w:rPr>
          <w:b w:val="0"/>
        </w:rPr>
        <w:t>Deadline reports that Noah Jupe has joined the cast of 'Avengers: Secret Wars' in an undisclosed key role, adding to one of the highest-stakes titles in the global film pipeline. Casting momentum on tentpoles of this scale shapes the international release-and-festival calendar that Gulf film investors and festivals track as they position the region's own production and exhibition sector within it. (</w:t>
      </w:r>
      <w:hyperlink r:id="rId15">
        <w:r>
          <w:rPr>
            <w:color w:val="0000FF"/>
            <w:u w:val="single"/>
            <w:rFonts w:ascii="Times New Roman" w:hAnsi="Times New Roman"/>
          </w:rPr>
          <w:t xml:space="preserve">Deadline</w:t>
        </w:r>
      </w:hyperlink>
      <w:r>
        <w:rPr>
          <w:b w:val="0"/>
        </w:rPr>
        <w:t>)</w:t>
      </w:r>
    </w:p>
    <w:p>
      <w:pPr>
        <w:pStyle w:val="NoSpacing"/>
      </w:pPr>
      <w:r>
        <w:rPr>
          <w:b/>
          <w:color w:val="000000"/>
        </w:rPr>
        <w:t>Architecture and Design:</w:t>
      </w:r>
    </w:p>
    <w:p>
      <w:pPr>
        <w:pStyle w:val="ListBullet"/>
      </w:pPr>
      <w:r>
        <w:rPr>
          <w:b w:val="0"/>
        </w:rPr>
        <w:t>Dezeen reports that the Japanese architect Kengo Kuma has received the Andrée Putman Lifetime Achievement Award from France's Comité des Arts Décoratifs, cited for a body of work that reconciles building with the natural world. His recognition spotlights the material-sensitive, landscape-led design values increasingly visible in Gulf cultural architecture, a reference point for Saudi Arabia's own museum and heritage-led building programme. (</w:t>
      </w:r>
      <w:hyperlink r:id="rId16">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Regional-conflict fiscal strain keeps Saudi finances under international scrutiny</w:t>
      </w:r>
    </w:p>
    <w:p>
      <w:pPr>
        <w:pStyle w:val="NoSpacing"/>
      </w:pPr>
      <w:r>
        <w:t>The Kingdom's return to the dollar-bond market to help cover a widening 2026 deficit — driven by the regional conflict's effect on oil revenues — keeps international attention on fiscal headroom just as Saudi Arabia sustains heavy cultural and creative-economy investment. Coverage that ties fresh borrowing to war-strain risks bleeding a fiscal-pressure narrative into how global audiences read the pace and durability of the Kingdom's cultural spending.</w:t>
      </w:r>
    </w:p>
    <w:p>
      <w:pPr>
        <w:pStyle w:val="NoSpacing"/>
      </w:pPr>
      <w:r>
        <w:rPr>
          <w:b/>
        </w:rPr>
        <w:t xml:space="preserve">Source: </w:t>
      </w:r>
      <w:hyperlink r:id="rId12">
        <w:r>
          <w:rPr>
            <w:color w:val="0000FF"/>
            <w:u w:val="single"/>
            <w:rFonts w:ascii="Times New Roman" w:hAnsi="Times New Roman"/>
          </w:rPr>
          <w:t xml:space="preserve">Bloomberg</w:t>
        </w:r>
      </w:hyperlink>
    </w:p>
    <w:p>
      <w:pPr>
        <w:pStyle w:val="NoSpacing"/>
      </w:pPr>
      <w:r>
        <w:rPr>
          <w:b/>
        </w:rPr>
        <w:t xml:space="preserve">Consideration: </w:t>
      </w:r>
      <w:r>
        <w:t>Keep cultural-sector communications visibly anchored in delivery, public access and Saudi talent rather than headline budgets, so the cultural programme is read on its own institutional merits rather than through the lens of deficit and conflict.</w:t>
      </w:r>
    </w:p>
    <w:p>
      <w:pPr>
        <w:pStyle w:val="NoSpacing"/>
      </w:pPr>
    </w:p>
    <w:p>
      <w:pPr>
        <w:pStyle w:val="NoSpacing"/>
      </w:pPr>
      <w:r>
        <w:rPr>
          <w:b/>
          <w:color w:val="A66500"/>
        </w:rPr>
        <w:t>Opportunities</w:t>
      </w:r>
    </w:p>
    <w:p>
      <w:pPr>
        <w:pStyle w:val="NoSpacing"/>
      </w:pPr>
      <w:r>
        <w:rPr>
          <w:b/>
          <w:color w:val="000000"/>
        </w:rPr>
        <w:t>1. Fashion and beauty momentum gives the Kingdom a non-oil creative-economy proof point</w:t>
      </w:r>
    </w:p>
    <w:p>
      <w:pPr>
        <w:pStyle w:val="NoSpacing"/>
      </w:pPr>
      <w:r>
        <w:t>Two international trade titles this cycle frame Saudi Arabia as both the GCC's largest beauty market and a maturing fashion-education base building an integrated talent pipeline — evidence that the creative industries are scaling commercially, not only ceremonially. Read together, they let the Ministry tell a joined-up story in which home-grown designers, skills and consumer demand feed one another rather than standing as isolated announcements.</w:t>
      </w:r>
    </w:p>
    <w:p>
      <w:pPr>
        <w:pStyle w:val="NoSpacing"/>
      </w:pPr>
      <w:r>
        <w:rPr>
          <w:b/>
        </w:rPr>
        <w:t xml:space="preserve">Source: </w:t>
      </w:r>
      <w:hyperlink r:id="rId9">
        <w:r>
          <w:rPr>
            <w:color w:val="0000FF"/>
            <w:u w:val="single"/>
            <w:rFonts w:ascii="Times New Roman" w:hAnsi="Times New Roman"/>
          </w:rPr>
          <w:t xml:space="preserve">FashionUnited</w:t>
        </w:r>
      </w:hyperlink>
      <w:r>
        <w:rPr>
          <w:b w:val="0"/>
        </w:rPr>
        <w:t xml:space="preserve">, </w:t>
      </w:r>
      <w:hyperlink r:id="rId10">
        <w:r>
          <w:rPr>
            <w:color w:val="0000FF"/>
            <w:u w:val="single"/>
            <w:rFonts w:ascii="Times New Roman" w:hAnsi="Times New Roman"/>
          </w:rPr>
          <w:t xml:space="preserve">Business of Fashion</w:t>
        </w:r>
      </w:hyperlink>
    </w:p>
    <w:p>
      <w:pPr>
        <w:pStyle w:val="NoSpacing"/>
      </w:pPr>
      <w:r>
        <w:rPr>
          <w:b/>
        </w:rPr>
        <w:t xml:space="preserve">Consideration: </w:t>
      </w:r>
      <w:r>
        <w:t>The Fashion Commission could connect the education-pathways and market-growth stories into a single non-oil-growth narrative — talent developed at home supplying a fast-growing domestic market — and pair it with international coverage to evidence Vision 2030 delivery in the creative sector.</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ashionunited.uk/news/fashion/saudi-arabia-expands-fashion-education-and-industry-pathways/2026090190067" TargetMode="External"/><Relationship Id="rId10" Type="http://schemas.openxmlformats.org/officeDocument/2006/relationships/hyperlink" Target="https://www.businessoffashion.com/articles/beauty/whats-driving-saudi-arabias-beauty-transformation/" TargetMode="External"/><Relationship Id="rId11" Type="http://schemas.openxmlformats.org/officeDocument/2006/relationships/hyperlink" Target="https://campaignme.com/stop-exporting-your-uae-strategy-to-saudi/" TargetMode="External"/><Relationship Id="rId12" Type="http://schemas.openxmlformats.org/officeDocument/2006/relationships/hyperlink" Target="https://www.bloomberg.com/news/articles/2026-09-01/saudi-arabia-returns-to-markets-with-dollar-bond-offering" TargetMode="External"/><Relationship Id="rId13" Type="http://schemas.openxmlformats.org/officeDocument/2006/relationships/hyperlink" Target="https://www.theartnewspaper.com/2026/09/01/the-art-worlds-billionaire-problem-is-getting-worse" TargetMode="External"/><Relationship Id="rId14" Type="http://schemas.openxmlformats.org/officeDocument/2006/relationships/hyperlink" Target="https://arkeonews.net/gardener-unearths-denmarks-largest-viking-silver-hoard-18-5-kilograms-hidden-in-a-clay-pot/" TargetMode="External"/><Relationship Id="rId15" Type="http://schemas.openxmlformats.org/officeDocument/2006/relationships/hyperlink" Target="https://deadline.com/2026/09/avengers-secret-wars-noah-jupe-cast-marvel-1237064363/" TargetMode="External"/><Relationship Id="rId16" Type="http://schemas.openxmlformats.org/officeDocument/2006/relationships/hyperlink" Target="https://www.dezeen.com/2026/09/01/kengo-kuma-andree-putman-lifetime-achievement-award-c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