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16 September 2026</w:t>
      </w:r>
    </w:p>
    <w:p>
      <w:pPr>
        <w:pStyle w:val="NoSpacing"/>
      </w:pPr>
    </w:p>
    <w:p>
      <w:pPr>
        <w:pStyle w:val="NoSpacing"/>
      </w:pPr>
      <w:r>
        <w:rPr>
          <w:b/>
          <w:color w:val="4A86E8"/>
        </w:rPr>
        <w:t>Saudi Arabia/Regional</w:t>
      </w:r>
    </w:p>
    <w:p>
      <w:pPr>
        <w:pStyle w:val="ListBullet"/>
      </w:pPr>
      <w:r>
        <w:t>Early Mosque Uncovered in Saudi Arabia's Al-Baha Province</w:t>
      </w:r>
    </w:p>
    <w:p>
      <w:pPr>
        <w:pStyle w:val="ListBullet"/>
      </w:pPr>
      <w:r>
        <w:t>Saudi design leaders, emerging talent set the agenda at Index expo</w:t>
      </w:r>
    </w:p>
    <w:p>
      <w:pPr>
        <w:pStyle w:val="ListBullet"/>
      </w:pPr>
      <w:r>
        <w:t>SceneNoise x Amsterdam Dance Event Present CROSSFADE: Saudi Arabia</w:t>
      </w:r>
    </w:p>
    <w:p>
      <w:pPr>
        <w:pStyle w:val="NoSpacing"/>
      </w:pPr>
    </w:p>
    <w:p>
      <w:pPr>
        <w:pStyle w:val="NoSpacing"/>
      </w:pPr>
      <w:r>
        <w:rPr>
          <w:b/>
          <w:color w:val="EE0000"/>
        </w:rPr>
        <w:t>Negative Articles</w:t>
      </w:r>
    </w:p>
    <w:p>
      <w:pPr>
        <w:pStyle w:val="ListBullet"/>
      </w:pPr>
      <w:r>
        <w:t>MBS and Saudi Arabia Face Crisis With Key Oil Pipeline Shut for Weeks</w:t>
      </w:r>
    </w:p>
    <w:p>
      <w:pPr>
        <w:pStyle w:val="ListBullet"/>
      </w:pPr>
      <w:r>
        <w:t>Saudi Arabia under military pressure from Iran, Houthis</w:t>
      </w:r>
    </w:p>
    <w:p>
      <w:pPr>
        <w:pStyle w:val="ListBullet"/>
      </w:pPr>
      <w:r>
        <w:t>Oil's safety net is fraying as Saudi Arabia races to restart a key pipeline</w:t>
      </w:r>
    </w:p>
    <w:p>
      <w:pPr>
        <w:pStyle w:val="ListBullet"/>
      </w:pPr>
      <w:r>
        <w:t>Saudi Arabia promises to respond to Houthi attacks 'firmly'</w:t>
      </w:r>
    </w:p>
    <w:p>
      <w:pPr>
        <w:pStyle w:val="ListBullet"/>
      </w:pPr>
      <w:r>
        <w:t>Saudi Arabia seeks British strikes on Yemen after US refusal, Burnham undecided</w:t>
      </w:r>
    </w:p>
    <w:p>
      <w:pPr>
        <w:pStyle w:val="NoSpacing"/>
      </w:pPr>
    </w:p>
    <w:p>
      <w:pPr>
        <w:pStyle w:val="NoSpacing"/>
      </w:pPr>
      <w:r>
        <w:rPr>
          <w:b/>
          <w:color w:val="4A86E8"/>
        </w:rPr>
        <w:t>Global</w:t>
      </w:r>
    </w:p>
    <w:p>
      <w:pPr>
        <w:pStyle w:val="ListBullet"/>
      </w:pPr>
      <w:r>
        <w:t>Troy's Earliest Agora Unearthed</w:t>
      </w:r>
    </w:p>
    <w:p>
      <w:pPr>
        <w:pStyle w:val="ListBullet"/>
      </w:pPr>
      <w:r>
        <w:t>Italian Officials Unveil Ancient Rome's Largest Wall Mosaic</w:t>
      </w:r>
    </w:p>
    <w:p>
      <w:pPr>
        <w:pStyle w:val="ListBullet"/>
      </w:pPr>
      <w:r>
        <w:t>Closed to public since WWII, hidden gallery at London Natural History Museum opens doors once again</w:t>
      </w:r>
    </w:p>
    <w:p>
      <w:pPr>
        <w:pStyle w:val="ListBullet"/>
      </w:pPr>
      <w:r>
        <w:t>Dealers make moves around Manhattan</w:t>
      </w:r>
    </w:p>
    <w:p>
      <w:pPr>
        <w:pStyle w:val="ListBullet"/>
      </w:pPr>
      <w:r>
        <w:t>Emmys 2026 Analysis: The TV Academy Shakes Things Up</w:t>
      </w:r>
    </w:p>
    <w:p>
      <w:pPr>
        <w:pStyle w:val="ListBullet"/>
      </w:pPr>
      <w:r>
        <w:t>Thom Browne Spring 2027 Ready-to-Wear</w:t>
      </w:r>
    </w:p>
    <w:p>
      <w:pPr>
        <w:pStyle w:val="ListBullet"/>
      </w:pPr>
      <w:r>
        <w:t>Noel Gallagher Reveals the Exact Moment Oasis Knew They Were Going to Tour Again in 2027</w:t>
      </w:r>
    </w:p>
    <w:p>
      <w:pPr>
        <w:pStyle w:val="ListBullet"/>
      </w:pPr>
      <w:r>
        <w:t>SPAF brings global and experimental works to Seoul this fall</w:t>
      </w:r>
    </w:p>
    <w:p>
      <w:pPr>
        <w:pStyle w:val="ListBullet"/>
      </w:pPr>
      <w:r>
        <w:t>20 Practices Expanding Architecture's Agency: Winners of the ArchDaily 2026 Next Practices Awards</w:t>
      </w:r>
    </w:p>
    <w:p>
      <w:pPr>
        <w:pStyle w:val="ListBullet"/>
      </w:pPr>
      <w:r>
        <w:t>2026 NBA Longlists for Translated, Young People's Literature Announced</w:t>
      </w:r>
    </w:p>
    <w:p>
      <w:pPr>
        <w:pStyle w:val="NoSpacing"/>
      </w:pPr>
    </w:p>
    <w:p>
      <w:r>
        <w:br w:type="page"/>
      </w:r>
    </w:p>
    <w:p>
      <w:pPr>
        <w:pStyle w:val="NoSpacing"/>
      </w:pPr>
      <w:r>
        <w:rPr>
          <w:b/>
          <w:color w:val="4A86E8"/>
        </w:rPr>
        <w:t>Saudi Arabia/Regional</w:t>
      </w:r>
    </w:p>
    <w:p>
      <w:pPr>
        <w:pStyle w:val="NoSpacing"/>
      </w:pPr>
      <w:r>
        <w:rPr>
          <w:b/>
          <w:color w:val="000000"/>
        </w:rPr>
        <w:t>Heritage:</w:t>
      </w:r>
    </w:p>
    <w:p>
      <w:pPr>
        <w:pStyle w:val="ListBullet"/>
      </w:pPr>
      <w:r>
        <w:rPr>
          <w:b w:val="0"/>
        </w:rPr>
        <w:t>Saudi Arabia's Heritage Commission has announced the discovery of an early mosque at the Al-Ma'mala site in Al-Baha province, a dressed-granite structure with a minaret and mihrab dated to the first century of the Islamic era. Excavators also recovered pottery, stone tools and Arabic inscriptions from a mining settlement that flourished between the sixth and ninth centuries. Coverage in an international archaeology title underlines how the Kingdom's heritage institutions are generating peer-relevant scholarship, not solely tourism narratives. (</w:t>
      </w:r>
      <w:hyperlink r:id="rId9">
        <w:r>
          <w:rPr>
            <w:color w:val="0000FF"/>
            <w:u w:val="single"/>
            <w:rFonts w:ascii="Times New Roman" w:hAnsi="Times New Roman"/>
          </w:rPr>
          <w:t xml:space="preserve">Archaeology Magazine</w:t>
        </w:r>
      </w:hyperlink>
      <w:r>
        <w:rPr>
          <w:b w:val="0"/>
        </w:rPr>
        <w:t>)</w:t>
      </w:r>
    </w:p>
    <w:p>
      <w:pPr>
        <w:pStyle w:val="NoSpacing"/>
      </w:pPr>
      <w:r>
        <w:rPr>
          <w:b/>
          <w:color w:val="000000"/>
        </w:rPr>
        <w:t>Architecture and Design:</w:t>
      </w:r>
    </w:p>
    <w:p>
      <w:pPr>
        <w:pStyle w:val="ListBullet"/>
      </w:pPr>
      <w:r>
        <w:rPr>
          <w:b w:val="0"/>
        </w:rPr>
        <w:t>Index Saudi Arabia opened in Riyadh under the theme "Built on heritage. Designed for tomorrow", with the Ministry of Culture's Architecture and Design Commission as strategic partner. More than half of the sixty-plus speakers in the fair's design talks were Saudi, and an Index Future Stars programme showcased final-year interior-design students from eleven Saudi universities. The framing points to a deliberate pairing of trade-show scale with a talent-pipeline and cultural-identity agenda. (</w:t>
      </w:r>
      <w:hyperlink r:id="rId10">
        <w:r>
          <w:rPr>
            <w:color w:val="0000FF"/>
            <w:u w:val="single"/>
            <w:rFonts w:ascii="Times New Roman" w:hAnsi="Times New Roman"/>
          </w:rPr>
          <w:t xml:space="preserve">TradeArabia</w:t>
        </w:r>
      </w:hyperlink>
      <w:r>
        <w:rPr>
          <w:b w:val="0"/>
        </w:rPr>
        <w:t>)</w:t>
      </w:r>
    </w:p>
    <w:p>
      <w:pPr>
        <w:pStyle w:val="NoSpacing"/>
      </w:pPr>
      <w:r>
        <w:rPr>
          <w:b/>
          <w:color w:val="000000"/>
        </w:rPr>
        <w:t>Music:</w:t>
      </w:r>
    </w:p>
    <w:p>
      <w:pPr>
        <w:pStyle w:val="ListBullet"/>
      </w:pPr>
      <w:r>
        <w:rPr>
          <w:b w:val="0"/>
        </w:rPr>
        <w:t>The regional music platform SceneNoise, in an editorial tied to the Amsterdam Dance Event, traced Saudi Arabia's electronic-music scene from a pre-2016 underground into a government-backed industry anchored by large festivals, drawing on interviews with local artists and promoters. The piece is candid that infrastructure has outpaced the slower work of building homegrown identity and audiences. As independent, beat-led coverage from outside the Kingdom, it offers a more textured read of the sector than promotional announcements. (</w:t>
      </w:r>
      <w:hyperlink r:id="rId11">
        <w:r>
          <w:rPr>
            <w:color w:val="0000FF"/>
            <w:u w:val="single"/>
            <w:rFonts w:ascii="Times New Roman" w:hAnsi="Times New Roman"/>
          </w:rPr>
          <w:t xml:space="preserve">SceneNoise</w:t>
        </w:r>
      </w:hyperlink>
      <w:r>
        <w:rPr>
          <w:b w:val="0"/>
        </w:rPr>
        <w:t>)</w:t>
      </w:r>
    </w:p>
    <w:p>
      <w:pPr>
        <w:pStyle w:val="NoSpacing"/>
      </w:pPr>
    </w:p>
    <w:p>
      <w:pPr>
        <w:pStyle w:val="NoSpacing"/>
      </w:pPr>
      <w:r>
        <w:rPr>
          <w:b/>
          <w:color w:val="EE0000"/>
        </w:rPr>
        <w:t>Negative Articles</w:t>
      </w:r>
    </w:p>
    <w:p>
      <w:pPr>
        <w:pStyle w:val="ListBullet"/>
      </w:pPr>
      <w:r>
        <w:rPr>
          <w:b w:val="0"/>
        </w:rPr>
        <w:t>Bloomberg reports that Saudi Arabia faces a costly disruption after its East-West crude pipeline was shut for what could be weeks, framing the fallout as a personal test for Crown Prince Mohammed bin Salman amid strained exports and public finances. The account ties the Kingdom's fiscal headroom directly to the escalating confrontation with the Houthis. For the Ministry, the risk is that economic-pressure narratives crowd out cultural-sector progress in international coverage. (</w:t>
      </w:r>
      <w:hyperlink r:id="rId12">
        <w:r>
          <w:rPr>
            <w:color w:val="0000FF"/>
            <w:u w:val="single"/>
            <w:rFonts w:ascii="Times New Roman" w:hAnsi="Times New Roman"/>
          </w:rPr>
          <w:t xml:space="preserve">Bloomberg</w:t>
        </w:r>
      </w:hyperlink>
      <w:r>
        <w:rPr>
          <w:b w:val="0"/>
        </w:rPr>
        <w:t>)</w:t>
      </w:r>
    </w:p>
    <w:p>
      <w:pPr>
        <w:pStyle w:val="ListBullet"/>
      </w:pPr>
      <w:r>
        <w:rPr>
          <w:b w:val="0"/>
        </w:rPr>
        <w:t>Semafor casts the moment as one of acute military pressure on Saudi Arabia from both Iran and the Houthis, questioning the durability of US backing and treating it as a test of the leadership's strategic judgement. The analysis foregrounds vulnerability on two fronts rather than the Kingdom's defensive response. Strategic-weakness framing of this kind can colour how international partners read Saudi initiatives more broadly. (</w:t>
      </w:r>
      <w:hyperlink r:id="rId13">
        <w:r>
          <w:rPr>
            <w:color w:val="0000FF"/>
            <w:u w:val="single"/>
            <w:rFonts w:ascii="Times New Roman" w:hAnsi="Times New Roman"/>
          </w:rPr>
          <w:t xml:space="preserve">Semafor</w:t>
        </w:r>
      </w:hyperlink>
      <w:r>
        <w:rPr>
          <w:b w:val="0"/>
        </w:rPr>
        <w:t>)</w:t>
      </w:r>
    </w:p>
    <w:p>
      <w:pPr>
        <w:pStyle w:val="ListBullet"/>
      </w:pPr>
      <w:r>
        <w:rPr>
          <w:b w:val="0"/>
        </w:rPr>
        <w:t>CNBC argues that oil's safety margin is thinning as Saudi Arabia races to restart the damaged pipeline, noting reports that some crude cargoes have been cancelled and that the Kingdom's principal Strait of Hormuz bypass route is exposed. The story centres supply-reliability doubts rather than the security incident itself. It illustrates how a security event quickly converts into scrutiny of Saudi economic dependability. (</w:t>
      </w:r>
      <w:hyperlink r:id="rId14">
        <w:r>
          <w:rPr>
            <w:color w:val="0000FF"/>
            <w:u w:val="single"/>
            <w:rFonts w:ascii="Times New Roman" w:hAnsi="Times New Roman"/>
          </w:rPr>
          <w:t xml:space="preserve">CNBC</w:t>
        </w:r>
      </w:hyperlink>
      <w:r>
        <w:rPr>
          <w:b w:val="0"/>
        </w:rPr>
        <w:t>)</w:t>
      </w:r>
    </w:p>
    <w:p>
      <w:pPr>
        <w:pStyle w:val="ListBullet"/>
      </w:pPr>
      <w:r>
        <w:rPr>
          <w:b w:val="0"/>
        </w:rPr>
        <w:t>Al Jazeera, whose Gulf coverage reflects its Qatari state funding and should be read with that in mind, reports Saudi pledges to respond "firmly" to Houthi attacks while carrying Houthi allegations that Saudi airstrikes killed Yemeni civilians, including children, in Taiz. The civilian-harm claims are attributed to the Houthis and are not independently verified in the piece. Their circulation nonetheless feeds a humanitarian-cost narrative around the campaign. (</w:t>
      </w:r>
      <w:hyperlink r:id="rId15">
        <w:r>
          <w:rPr>
            <w:color w:val="0000FF"/>
            <w:u w:val="single"/>
            <w:rFonts w:ascii="Times New Roman" w:hAnsi="Times New Roman"/>
          </w:rPr>
          <w:t xml:space="preserve">Al Jazeera</w:t>
        </w:r>
      </w:hyperlink>
      <w:r>
        <w:rPr>
          <w:b w:val="0"/>
        </w:rPr>
        <w:t>)</w:t>
      </w:r>
    </w:p>
    <w:p>
      <w:pPr>
        <w:pStyle w:val="ListBullet"/>
      </w:pPr>
      <w:r>
        <w:rPr>
          <w:b w:val="0"/>
        </w:rPr>
        <w:t>Iranian state broadcaster Press TV, a hostile source cited here to illustrate adversarial framing rather than as a reliable account, describes Saudi Arabia as a "regime" waging a "decade-long war of aggression" and seeking British strikes on Yemen after a US refusal. The framing casts the Kingdom as dependent on former colonial powers and responsible for mass Yemeni suffering. Flagging it matters because it is the sharpest adversarial line being pushed on the escalation. (</w:t>
      </w:r>
      <w:hyperlink r:id="rId16">
        <w:r>
          <w:rPr>
            <w:color w:val="0000FF"/>
            <w:u w:val="single"/>
            <w:rFonts w:ascii="Times New Roman" w:hAnsi="Times New Roman"/>
          </w:rPr>
          <w:t xml:space="preserve">Press TV</w:t>
        </w:r>
      </w:hyperlink>
      <w:r>
        <w:rPr>
          <w:b w:val="0"/>
        </w:rPr>
        <w:t>)</w:t>
      </w:r>
    </w:p>
    <w:p>
      <w:pPr>
        <w:pStyle w:val="NoSpacing"/>
      </w:pPr>
    </w:p>
    <w:p>
      <w:pPr>
        <w:pStyle w:val="NoSpacing"/>
      </w:pPr>
      <w:r>
        <w:rPr>
          <w:b/>
          <w:color w:val="4A86E8"/>
        </w:rPr>
        <w:t>Global</w:t>
      </w:r>
    </w:p>
    <w:p>
      <w:pPr>
        <w:pStyle w:val="NoSpacing"/>
      </w:pPr>
      <w:r>
        <w:rPr>
          <w:b/>
          <w:color w:val="000000"/>
        </w:rPr>
        <w:t>Heritage:</w:t>
      </w:r>
    </w:p>
    <w:p>
      <w:pPr>
        <w:pStyle w:val="ListBullet"/>
      </w:pPr>
      <w:r>
        <w:rPr>
          <w:b w:val="0"/>
        </w:rPr>
        <w:t>Archaeologists have uncovered what is described as Troy's earliest agora, a roughly 2,800-year-old marketplace indicating the city was reoccupied after the Bronze Age and helping resolve a long-standing gap in its timeline. The find deepens understanding of how the storied site functioned in the early Iron Age. (</w:t>
      </w:r>
      <w:hyperlink r:id="rId17">
        <w:r>
          <w:rPr>
            <w:color w:val="0000FF"/>
            <w:u w:val="single"/>
            <w:rFonts w:ascii="Times New Roman" w:hAnsi="Times New Roman"/>
          </w:rPr>
          <w:t xml:space="preserve">Archaeology Magazine</w:t>
        </w:r>
      </w:hyperlink>
      <w:r>
        <w:rPr>
          <w:b w:val="0"/>
        </w:rPr>
        <w:t>)</w:t>
      </w:r>
    </w:p>
    <w:p>
      <w:pPr>
        <w:pStyle w:val="ListBullet"/>
      </w:pPr>
      <w:r>
        <w:rPr>
          <w:b w:val="0"/>
        </w:rPr>
        <w:t>Italian officials have unveiled what they call ancient Rome's largest known wall mosaic and fresco complex, revealed beneath the Oppian Hill after a fourteen-year restoration. The elaborately decorated space adds a rare monumental example to the record of Roman interior art. (</w:t>
      </w:r>
      <w:hyperlink r:id="rId18">
        <w:r>
          <w:rPr>
            <w:color w:val="0000FF"/>
            <w:u w:val="single"/>
            <w:rFonts w:ascii="Times New Roman" w:hAnsi="Times New Roman"/>
          </w:rPr>
          <w:t xml:space="preserve">Archaeology Magazine</w:t>
        </w:r>
      </w:hyperlink>
      <w:r>
        <w:rPr>
          <w:b w:val="0"/>
        </w:rPr>
        <w:t>)</w:t>
      </w:r>
    </w:p>
    <w:p>
      <w:pPr>
        <w:pStyle w:val="NoSpacing"/>
      </w:pPr>
      <w:r>
        <w:rPr>
          <w:b/>
          <w:color w:val="000000"/>
        </w:rPr>
        <w:t>Museums:</w:t>
      </w:r>
    </w:p>
    <w:p>
      <w:pPr>
        <w:pStyle w:val="ListBullet"/>
      </w:pPr>
      <w:r>
        <w:rPr>
          <w:b w:val="0"/>
        </w:rPr>
        <w:t>London's Natural History Museum has reopened a gallery closed to the public since the Second World War, unveiling "Nature and Us", a display of some fifty objects exploring humanity's changing relationship with the natural world over an eighteen-month run. The reopening reclaims heritage space for a contemporary environmental narrative. (</w:t>
      </w:r>
      <w:hyperlink r:id="rId19">
        <w:r>
          <w:rPr>
            <w:color w:val="0000FF"/>
            <w:u w:val="single"/>
            <w:rFonts w:ascii="Times New Roman" w:hAnsi="Times New Roman"/>
          </w:rPr>
          <w:t xml:space="preserve">Smithsonian Magazine</w:t>
        </w:r>
      </w:hyperlink>
      <w:r>
        <w:rPr>
          <w:b w:val="0"/>
        </w:rPr>
        <w:t>)</w:t>
      </w:r>
    </w:p>
    <w:p>
      <w:pPr>
        <w:pStyle w:val="NoSpacing"/>
      </w:pPr>
      <w:r>
        <w:rPr>
          <w:b/>
          <w:color w:val="000000"/>
        </w:rPr>
        <w:t>Visual Arts:</w:t>
      </w:r>
    </w:p>
    <w:p>
      <w:pPr>
        <w:pStyle w:val="ListBullet"/>
      </w:pPr>
      <w:r>
        <w:rPr>
          <w:b w:val="0"/>
        </w:rPr>
        <w:t>The Art Newspaper charts a reshuffle of New York's gallery geography, with dealers expanding into new Manhattan districts as Tribeca rises and parts of Chelsea lose ground. The moves signal how mid-size galleries are recalibrating amid a cooler art market. (</w:t>
      </w:r>
      <w:hyperlink r:id="rId20">
        <w:r>
          <w:rPr>
            <w:color w:val="0000FF"/>
            <w:u w:val="single"/>
            <w:rFonts w:ascii="Times New Roman" w:hAnsi="Times New Roman"/>
          </w:rPr>
          <w:t xml:space="preserve">The Art Newspaper</w:t>
        </w:r>
      </w:hyperlink>
      <w:r>
        <w:rPr>
          <w:b w:val="0"/>
        </w:rPr>
        <w:t>)</w:t>
      </w:r>
    </w:p>
    <w:p>
      <w:pPr>
        <w:pStyle w:val="NoSpacing"/>
      </w:pPr>
      <w:r>
        <w:rPr>
          <w:b/>
          <w:color w:val="000000"/>
        </w:rPr>
        <w:t>Film:</w:t>
      </w:r>
    </w:p>
    <w:p>
      <w:pPr>
        <w:pStyle w:val="ListBullet"/>
      </w:pPr>
      <w:r>
        <w:rPr>
          <w:b w:val="0"/>
        </w:rPr>
        <w:t>Deadline's day-after analysis of the 78th Emmy Awards charts a shake-up led by Apple TV's freshman comedy "Widow's Bay", which took a record fourteen wins, with Matthew Rhys becoming the first performer to win two lead acting Emmys in a single evening. The results underline the streaming platforms' tightening grip on prestige television. (</w:t>
      </w:r>
      <w:hyperlink r:id="rId21">
        <w:r>
          <w:rPr>
            <w:color w:val="0000FF"/>
            <w:u w:val="single"/>
            <w:rFonts w:ascii="Times New Roman" w:hAnsi="Times New Roman"/>
          </w:rPr>
          <w:t xml:space="preserve">Deadline</w:t>
        </w:r>
      </w:hyperlink>
      <w:r>
        <w:rPr>
          <w:b w:val="0"/>
        </w:rPr>
        <w:t>)</w:t>
      </w:r>
    </w:p>
    <w:p>
      <w:pPr>
        <w:pStyle w:val="NoSpacing"/>
      </w:pPr>
      <w:r>
        <w:rPr>
          <w:b/>
          <w:color w:val="000000"/>
        </w:rPr>
        <w:t>Fashion:</w:t>
      </w:r>
    </w:p>
    <w:p>
      <w:pPr>
        <w:pStyle w:val="ListBullet"/>
      </w:pPr>
      <w:r>
        <w:rPr>
          <w:b w:val="0"/>
        </w:rPr>
        <w:t>WWD reviews Thom Browne's Spring 2027 collection, which closed New York Fashion Week with the designer's signature theatrical tailoring back on home ground. The show caps a season in which American houses leaned into narrative-driven runway spectacle. (</w:t>
      </w:r>
      <w:hyperlink r:id="rId22">
        <w:r>
          <w:rPr>
            <w:color w:val="0000FF"/>
            <w:u w:val="single"/>
            <w:rFonts w:ascii="Times New Roman" w:hAnsi="Times New Roman"/>
          </w:rPr>
          <w:t xml:space="preserve">WWD</w:t>
        </w:r>
      </w:hyperlink>
      <w:r>
        <w:rPr>
          <w:b w:val="0"/>
        </w:rPr>
        <w:t>)</w:t>
      </w:r>
    </w:p>
    <w:p>
      <w:pPr>
        <w:pStyle w:val="NoSpacing"/>
      </w:pPr>
      <w:r>
        <w:rPr>
          <w:b/>
          <w:color w:val="000000"/>
        </w:rPr>
        <w:t>Music:</w:t>
      </w:r>
    </w:p>
    <w:p>
      <w:pPr>
        <w:pStyle w:val="ListBullet"/>
      </w:pPr>
      <w:r>
        <w:rPr>
          <w:b w:val="0"/>
        </w:rPr>
        <w:t>Billboard reports Noel Gallagher pinpointing the moment Oasis knew they would tour again, with talk of a 2027 run and new music extending one of the year's biggest reunion stories. The momentum highlights the enduring commercial pull of heritage-act live touring. (</w:t>
      </w:r>
      <w:hyperlink r:id="rId23">
        <w:r>
          <w:rPr>
            <w:color w:val="0000FF"/>
            <w:u w:val="single"/>
            <w:rFonts w:ascii="Times New Roman" w:hAnsi="Times New Roman"/>
          </w:rPr>
          <w:t xml:space="preserve">Billboard</w:t>
        </w:r>
      </w:hyperlink>
      <w:r>
        <w:rPr>
          <w:b w:val="0"/>
        </w:rPr>
        <w:t>)</w:t>
      </w:r>
    </w:p>
    <w:p>
      <w:pPr>
        <w:pStyle w:val="NoSpacing"/>
      </w:pPr>
      <w:r>
        <w:rPr>
          <w:b/>
          <w:color w:val="000000"/>
        </w:rPr>
        <w:t>Theatre and Performing Arts:</w:t>
      </w:r>
    </w:p>
    <w:p>
      <w:pPr>
        <w:pStyle w:val="ListBullet"/>
      </w:pPr>
      <w:r>
        <w:rPr>
          <w:b w:val="0"/>
        </w:rPr>
        <w:t>The Korea Herald previews the 26th Seoul Performing Arts Festival, which brings global and experimental work to the South Korean capital this autumn, including a stage adaptation of Han Kang's writing directed by Julie Deliquet. The programme underlines Seoul's positioning as a hub for international performing-arts exchange. (</w:t>
      </w:r>
      <w:hyperlink r:id="rId24">
        <w:r>
          <w:rPr>
            <w:color w:val="0000FF"/>
            <w:u w:val="single"/>
            <w:rFonts w:ascii="Times New Roman" w:hAnsi="Times New Roman"/>
          </w:rPr>
          <w:t xml:space="preserve">The Korea Herald</w:t>
        </w:r>
      </w:hyperlink>
      <w:r>
        <w:rPr>
          <w:b w:val="0"/>
        </w:rPr>
        <w:t>)</w:t>
      </w:r>
    </w:p>
    <w:p>
      <w:pPr>
        <w:pStyle w:val="NoSpacing"/>
      </w:pPr>
      <w:r>
        <w:rPr>
          <w:b/>
          <w:color w:val="000000"/>
        </w:rPr>
        <w:t>Architecture and Design:</w:t>
      </w:r>
    </w:p>
    <w:p>
      <w:pPr>
        <w:pStyle w:val="ListBullet"/>
      </w:pPr>
      <w:r>
        <w:rPr>
          <w:b w:val="0"/>
        </w:rPr>
        <w:t>ArchDaily has named the twenty winners of its 2026 Next Practices Awards, recognising emerging studios from Egypt, Nigeria, India, Brazil and beyond that are reshaping how architecture engages social and environmental questions. The list points to a broadening of the profession's centres of influence beyond its traditional Western core. (</w:t>
      </w:r>
      <w:hyperlink r:id="rId25">
        <w:r>
          <w:rPr>
            <w:color w:val="0000FF"/>
            <w:u w:val="single"/>
            <w:rFonts w:ascii="Times New Roman" w:hAnsi="Times New Roman"/>
          </w:rPr>
          <w:t xml:space="preserve">ArchDaily</w:t>
        </w:r>
      </w:hyperlink>
      <w:r>
        <w:rPr>
          <w:b w:val="0"/>
        </w:rPr>
        <w:t>)</w:t>
      </w:r>
    </w:p>
    <w:p>
      <w:pPr>
        <w:pStyle w:val="NoSpacing"/>
      </w:pPr>
      <w:r>
        <w:rPr>
          <w:b/>
          <w:color w:val="000000"/>
        </w:rPr>
        <w:t>Literature, Publishing, and Translation:</w:t>
      </w:r>
    </w:p>
    <w:p>
      <w:pPr>
        <w:pStyle w:val="ListBullet"/>
      </w:pPr>
      <w:r>
        <w:rPr>
          <w:b w:val="0"/>
        </w:rPr>
        <w:t>Publishers Weekly reports the National Book Foundation's 2026 longlists for Translated Literature and Young People's Literature, spotlighting international voices and emerging authors ahead of the awards. The translated-literature list in particular signals the continuing mainstreaming of work in translation for readers in the United States. (</w:t>
      </w:r>
      <w:hyperlink r:id="rId26">
        <w:r>
          <w:rPr>
            <w:color w:val="0000FF"/>
            <w:u w:val="single"/>
            <w:rFonts w:ascii="Times New Roman" w:hAnsi="Times New Roman"/>
          </w:rPr>
          <w:t xml:space="preserve">Publishers Weekly</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Red Sea escalation strains the Kingdom's economic and reputational backdrop</w:t>
      </w:r>
    </w:p>
    <w:p>
      <w:pPr>
        <w:pStyle w:val="NoSpacing"/>
      </w:pPr>
      <w:r>
        <w:t>A cluster of same-day coverage sharpened the reputational backdrop around Saudi Arabia this cycle: Bloomberg and CNBC reported the shutdown of the East-West crude pipeline for a potentially weeks-long stretch, with cancelled cargoes and questions over the Kingdom's Strait of Hormuz bypass route, while Semafor framed Riyadh as under two-front military pressure from Iran and the Houthis and The Guardian reported a Houthi drone intercepted near Mecca that prompted a Saudi "red line" warning. Together these threads convert a security incident into simultaneous scrutiny of Saudi economic dependability and strategic exposure.</w:t>
      </w:r>
    </w:p>
    <w:p>
      <w:pPr>
        <w:pStyle w:val="NoSpacing"/>
      </w:pPr>
      <w:r>
        <w:rPr>
          <w:b/>
        </w:rPr>
        <w:t xml:space="preserve">Source: </w:t>
      </w:r>
      <w:hyperlink r:id="rId12">
        <w:r>
          <w:rPr>
            <w:color w:val="0000FF"/>
            <w:u w:val="single"/>
            <w:rFonts w:ascii="Times New Roman" w:hAnsi="Times New Roman"/>
          </w:rPr>
          <w:t xml:space="preserve">Bloomberg</w:t>
        </w:r>
      </w:hyperlink>
      <w:r>
        <w:rPr>
          <w:b w:val="0"/>
        </w:rPr>
        <w:t xml:space="preserve">, </w:t>
      </w:r>
      <w:hyperlink r:id="rId14">
        <w:r>
          <w:rPr>
            <w:color w:val="0000FF"/>
            <w:u w:val="single"/>
            <w:rFonts w:ascii="Times New Roman" w:hAnsi="Times New Roman"/>
          </w:rPr>
          <w:t xml:space="preserve">CNBC</w:t>
        </w:r>
      </w:hyperlink>
      <w:r>
        <w:rPr>
          <w:b w:val="0"/>
        </w:rPr>
        <w:t xml:space="preserve">, </w:t>
      </w:r>
      <w:hyperlink r:id="rId13">
        <w:r>
          <w:rPr>
            <w:color w:val="0000FF"/>
            <w:u w:val="single"/>
            <w:rFonts w:ascii="Times New Roman" w:hAnsi="Times New Roman"/>
          </w:rPr>
          <w:t xml:space="preserve">Semafor</w:t>
        </w:r>
      </w:hyperlink>
      <w:r>
        <w:rPr>
          <w:b w:val="0"/>
        </w:rPr>
        <w:t xml:space="preserve">, </w:t>
      </w:r>
      <w:hyperlink r:id="rId27">
        <w:r>
          <w:rPr>
            <w:color w:val="0000FF"/>
            <w:u w:val="single"/>
            <w:rFonts w:ascii="Times New Roman" w:hAnsi="Times New Roman"/>
          </w:rPr>
          <w:t xml:space="preserve">The Guardian</w:t>
        </w:r>
      </w:hyperlink>
    </w:p>
    <w:p>
      <w:pPr>
        <w:pStyle w:val="NoSpacing"/>
      </w:pPr>
      <w:r>
        <w:rPr>
          <w:b/>
        </w:rPr>
        <w:t xml:space="preserve">Consideration: </w:t>
      </w:r>
      <w:r>
        <w:t>Keep the Ministry's cultural programme and international cultural participation clearly distinct from the conflict narrative, foregrounding credible delivery, heritage stewardship, public access and safe international participation so that cultural engagement is not read through a security lens.</w:t>
      </w:r>
    </w:p>
    <w:p>
      <w:pPr>
        <w:pStyle w:val="NoSpacing"/>
      </w:pPr>
    </w:p>
    <w:p>
      <w:pPr>
        <w:pStyle w:val="NoSpacing"/>
      </w:pPr>
      <w:r>
        <w:rPr>
          <w:b/>
          <w:color w:val="000000"/>
        </w:rPr>
        <w:t>2. Adversarial framing gathers around civilian-harm and "aggressor" narratives</w:t>
      </w:r>
    </w:p>
    <w:p>
      <w:pPr>
        <w:pStyle w:val="NoSpacing"/>
      </w:pPr>
      <w:r>
        <w:t>Beyond the economic story, hostile and state-aligned outlets pushed a sharper reputational line. Iranian state broadcaster Press TV cast Saudi Arabia as a "regime" waging a "war of aggression" and leaning on former colonial powers, while Al Jazeera circulated Houthi allegations of Saudi airstrikes killing Yemeni civilians, including children. These are partial and, in Press TV's case, overtly hostile accounts, but they mark the adversarial edge of the coverage the Kingdom now faces.</w:t>
      </w:r>
    </w:p>
    <w:p>
      <w:pPr>
        <w:pStyle w:val="NoSpacing"/>
      </w:pPr>
      <w:r>
        <w:rPr>
          <w:b/>
        </w:rPr>
        <w:t xml:space="preserve">Source: </w:t>
      </w:r>
      <w:hyperlink r:id="rId16">
        <w:r>
          <w:rPr>
            <w:color w:val="0000FF"/>
            <w:u w:val="single"/>
            <w:rFonts w:ascii="Times New Roman" w:hAnsi="Times New Roman"/>
          </w:rPr>
          <w:t xml:space="preserve">Press TV</w:t>
        </w:r>
      </w:hyperlink>
      <w:r>
        <w:rPr>
          <w:b w:val="0"/>
        </w:rPr>
        <w:t xml:space="preserve">, </w:t>
      </w:r>
      <w:hyperlink r:id="rId15">
        <w:r>
          <w:rPr>
            <w:color w:val="0000FF"/>
            <w:u w:val="single"/>
            <w:rFonts w:ascii="Times New Roman" w:hAnsi="Times New Roman"/>
          </w:rPr>
          <w:t xml:space="preserve">Al Jazeera</w:t>
        </w:r>
      </w:hyperlink>
    </w:p>
    <w:p>
      <w:pPr>
        <w:pStyle w:val="NoSpacing"/>
      </w:pPr>
      <w:r>
        <w:rPr>
          <w:b/>
        </w:rPr>
        <w:t xml:space="preserve">Consideration: </w:t>
      </w:r>
      <w:r>
        <w:t>Anticipate that cultural soft-power messaging will be tested against a humanitarian-cost narrative from these outlets; avoid engaging their framing directly, and let institutional professionalism, genuine cultural exchange and Saudi talent carry the Ministry's story on its own terms.</w:t>
      </w:r>
    </w:p>
    <w:p>
      <w:pPr>
        <w:pStyle w:val="NoSpacing"/>
      </w:pPr>
    </w:p>
    <w:p>
      <w:pPr>
        <w:pStyle w:val="NoSpacing"/>
      </w:pPr>
      <w:r>
        <w:rPr>
          <w:b/>
          <w:color w:val="A66500"/>
        </w:rPr>
        <w:t>Opportunities</w:t>
      </w:r>
    </w:p>
    <w:p>
      <w:pPr>
        <w:pStyle w:val="NoSpacing"/>
      </w:pPr>
      <w:r>
        <w:rPr>
          <w:b/>
          <w:color w:val="000000"/>
        </w:rPr>
        <w:t>1. Heritage scholarship strengthens the Kingdom's soft-power credibility</w:t>
      </w:r>
    </w:p>
    <w:p>
      <w:pPr>
        <w:pStyle w:val="NoSpacing"/>
      </w:pPr>
      <w:r>
        <w:t>The Heritage Commission's announcement of a first-century Islamic-era mosque at Al-Ma'mala in Al-Baha, carried by an international archaeology title, shows Saudi heritage institutions producing scholarship that travels on its own merits rather than as promotion. The detail of the find — a granite mosque with minaret and mihrab within a centuries-old mining settlement — lends itself to credible, evidence-led storytelling.</w:t>
      </w:r>
    </w:p>
    <w:p>
      <w:pPr>
        <w:pStyle w:val="NoSpacing"/>
      </w:pPr>
      <w:r>
        <w:rPr>
          <w:b/>
        </w:rPr>
        <w:t xml:space="preserve">Source: </w:t>
      </w:r>
      <w:hyperlink r:id="rId9">
        <w:r>
          <w:rPr>
            <w:color w:val="0000FF"/>
            <w:u w:val="single"/>
            <w:rFonts w:ascii="Times New Roman" w:hAnsi="Times New Roman"/>
          </w:rPr>
          <w:t xml:space="preserve">Archaeology Magazine</w:t>
        </w:r>
      </w:hyperlink>
    </w:p>
    <w:p>
      <w:pPr>
        <w:pStyle w:val="NoSpacing"/>
      </w:pPr>
      <w:r>
        <w:rPr>
          <w:b/>
        </w:rPr>
        <w:t xml:space="preserve">Consideration: </w:t>
      </w:r>
      <w:r>
        <w:t>Connect discoveries like this into a sustained narrative of institutional depth and scholarly stewardship, positioning the Kingdom's heritage work as a long-term contribution to global knowledge rather than a series of isolated announcements.</w:t>
      </w:r>
    </w:p>
    <w:p>
      <w:pPr>
        <w:pStyle w:val="NoSpacing"/>
      </w:pPr>
    </w:p>
    <w:p>
      <w:pPr>
        <w:pStyle w:val="NoSpacing"/>
      </w:pPr>
      <w:r>
        <w:rPr>
          <w:b/>
          <w:color w:val="000000"/>
        </w:rPr>
        <w:t>2. Creative-industry momentum builds visible talent pathways</w:t>
      </w:r>
    </w:p>
    <w:p>
      <w:pPr>
        <w:pStyle w:val="NoSpacing"/>
      </w:pPr>
      <w:r>
        <w:t>Two independent strands this cycle showed the creative sector maturing: Index Saudi Arabia, with the Architecture and Design Commission as strategic partner, put homegrown design talent and students from eleven Saudi universities at the centre of its programme, while SceneNoise's outside-in account traced a music scene developing its own identity after years of rapid, festival-led growth. Read together, they point to a shift from headline events towards durable skills and talent development.</w:t>
      </w:r>
    </w:p>
    <w:p>
      <w:pPr>
        <w:pStyle w:val="NoSpacing"/>
      </w:pPr>
      <w:r>
        <w:rPr>
          <w:b/>
        </w:rPr>
        <w:t xml:space="preserve">Source: </w:t>
      </w:r>
      <w:hyperlink r:id="rId10">
        <w:r>
          <w:rPr>
            <w:color w:val="0000FF"/>
            <w:u w:val="single"/>
            <w:rFonts w:ascii="Times New Roman" w:hAnsi="Times New Roman"/>
          </w:rPr>
          <w:t xml:space="preserve">TradeArabia</w:t>
        </w:r>
      </w:hyperlink>
      <w:r>
        <w:rPr>
          <w:b w:val="0"/>
        </w:rPr>
        <w:t xml:space="preserve">, </w:t>
      </w:r>
      <w:hyperlink r:id="rId11">
        <w:r>
          <w:rPr>
            <w:color w:val="0000FF"/>
            <w:u w:val="single"/>
            <w:rFonts w:ascii="Times New Roman" w:hAnsi="Times New Roman"/>
          </w:rPr>
          <w:t xml:space="preserve">SceneNoise</w:t>
        </w:r>
      </w:hyperlink>
    </w:p>
    <w:p>
      <w:pPr>
        <w:pStyle w:val="NoSpacing"/>
      </w:pPr>
      <w:r>
        <w:rPr>
          <w:b/>
        </w:rPr>
        <w:t xml:space="preserve">Consideration: </w:t>
      </w:r>
      <w:r>
        <w:t>Frame design, music and allied sectors around education, talent pipelines and homegrown authorship — the elements external observers found most credible — to build a national creative-economy narrative that is more resilient than event-by-event announcements.</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chaeology.org/news/2026/09/15/early-mosque-uncovered-in-saudi-arabias-al-baha-province/" TargetMode="External"/><Relationship Id="rId10" Type="http://schemas.openxmlformats.org/officeDocument/2006/relationships/hyperlink" Target="https://tradearabia.com/News/486255/Saudi-design-leaders-emerging-talent-set-the-agenda-at-Index-expo" TargetMode="External"/><Relationship Id="rId11" Type="http://schemas.openxmlformats.org/officeDocument/2006/relationships/hyperlink" Target="https://scenenoise.com/Features/SceneNoise-x-Amsterdam-Dance-Event-Present-CROSSFADE-Saudi-Arabia" TargetMode="External"/><Relationship Id="rId12" Type="http://schemas.openxmlformats.org/officeDocument/2006/relationships/hyperlink" Target="https://www.bloomberg.com/news/articles/2026-09-15/mbs-and-saudi-arabia-face-crisis-with-key-oil-pipeline-shut-for-weeks" TargetMode="External"/><Relationship Id="rId13" Type="http://schemas.openxmlformats.org/officeDocument/2006/relationships/hyperlink" Target="https://www.semafor.com/article/09/15/2026/saudi-arabia-under-tense-military-pressure-from-iran-houthis" TargetMode="External"/><Relationship Id="rId14" Type="http://schemas.openxmlformats.org/officeDocument/2006/relationships/hyperlink" Target="https://www.cnbc.com/2026/09/15/oil-prices-saudi-arabia-east-west-pipeline-iran.html" TargetMode="External"/><Relationship Id="rId15" Type="http://schemas.openxmlformats.org/officeDocument/2006/relationships/hyperlink" Target="https://www.aljazeera.com/news/2026/9/15/houthis-report-air-strikes-in-yemen-after-saudi-arabia-vows-firm-response" TargetMode="External"/><Relationship Id="rId16" Type="http://schemas.openxmlformats.org/officeDocument/2006/relationships/hyperlink" Target="https://www.presstv.co.uk/Detail/2026/09/15/776310/Saudi-regime-seeks-British-strikes-on-Yemen-after-US-refusal" TargetMode="External"/><Relationship Id="rId17" Type="http://schemas.openxmlformats.org/officeDocument/2006/relationships/hyperlink" Target="https://archaeology.org/news/2026/09/15/troys-earliest-agora-unearthed/" TargetMode="External"/><Relationship Id="rId18" Type="http://schemas.openxmlformats.org/officeDocument/2006/relationships/hyperlink" Target="https://archaeology.org/news/2026/09/15/italian-officials-unveil-ancient-romes-largest-wall-mosaic/" TargetMode="External"/><Relationship Id="rId19" Type="http://schemas.openxmlformats.org/officeDocument/2006/relationships/hyperlink" Target="https://www.smithsonianmag.com/smart-news/closed-to-public-since-wwii-hidden-gallery-at-london-natural-history-museum-opens-doors-once-again-180989380/" TargetMode="External"/><Relationship Id="rId20" Type="http://schemas.openxmlformats.org/officeDocument/2006/relationships/hyperlink" Target="https://www.theartnewspaper.com/2026/09/15/new-york-galleries-moving-manhattan-soho-rising-chelsea-tribeca-endure" TargetMode="External"/><Relationship Id="rId21" Type="http://schemas.openxmlformats.org/officeDocument/2006/relationships/hyperlink" Target="https://deadline.com/2026/09/2026-emmys-analysis-widows-bay-1237103690/" TargetMode="External"/><Relationship Id="rId22" Type="http://schemas.openxmlformats.org/officeDocument/2006/relationships/hyperlink" Target="https://wwd.com/runway/spring-2027/new-york/thom-browne/review/" TargetMode="External"/><Relationship Id="rId23" Type="http://schemas.openxmlformats.org/officeDocument/2006/relationships/hyperlink" Target="https://www.billboard.com/music/rock/noel-gallagher-moment-oasis-knew-going-back-on-tour-new-music-1236340326/" TargetMode="External"/><Relationship Id="rId24" Type="http://schemas.openxmlformats.org/officeDocument/2006/relationships/hyperlink" Target="https://www.koreaherald.com/article/10874594" TargetMode="External"/><Relationship Id="rId25" Type="http://schemas.openxmlformats.org/officeDocument/2006/relationships/hyperlink" Target="https://www.archdaily.com/1185003/20-practices-expanding-architectures-agency-winners-of-the-archdaily-2026-next-practices-awards" TargetMode="External"/><Relationship Id="rId26" Type="http://schemas.openxmlformats.org/officeDocument/2006/relationships/hyperlink" Target="https://www.publishersweekly.com/pw/by-topic/industry-news/publisher-news/article/101236-2026-national-book-award-longlists-announced.html" TargetMode="External"/><Relationship Id="rId27" Type="http://schemas.openxmlformats.org/officeDocument/2006/relationships/hyperlink" Target="https://www.theguardian.com/world/2026/sep/16/saudi-arabia-houthi-drone-shot-down-mecca-iran-middle-ea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