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pPr>
      <w:r>
        <w:rPr>
          <w:b/>
          <w:color w:val="4A86E8"/>
          <w:sz w:val="24"/>
        </w:rPr>
        <w:t>Headlines, 20 July 2026</w:t>
      </w:r>
    </w:p>
    <w:p>
      <w:pPr>
        <w:spacing w:before="120" w:after="60"/>
      </w:pPr>
      <w:r>
        <w:rPr>
          <w:b/>
          <w:color w:val="4A86E8"/>
          <w:sz w:val="24"/>
        </w:rPr>
        <w:t>Saudi Arabia/Regional</w:t>
      </w:r>
    </w:p>
    <w:p>
      <w:pPr>
        <w:pStyle w:val="ListBullet"/>
        <w:spacing w:after="40"/>
      </w:pPr>
      <w:r>
        <w:rPr>
          <w:sz w:val="24"/>
        </w:rPr>
        <w:t>Houthis impose Saudi naval blockade, opening new front in US-Iran war</w:t>
      </w:r>
    </w:p>
    <w:p>
      <w:pPr>
        <w:pStyle w:val="ListBullet"/>
        <w:spacing w:after="40"/>
      </w:pPr>
      <w:r>
        <w:rPr>
          <w:sz w:val="24"/>
        </w:rPr>
        <w:t>What Wall Street never understood about Gulf investors and their priorities</w:t>
      </w:r>
    </w:p>
    <w:p>
      <w:pPr>
        <w:spacing w:before="120" w:after="60"/>
      </w:pPr>
      <w:r>
        <w:rPr>
          <w:b/>
          <w:color w:val="4A86E8"/>
          <w:sz w:val="24"/>
        </w:rPr>
        <w:t>Negative Articles</w:t>
      </w:r>
    </w:p>
    <w:p>
      <w:pPr>
        <w:spacing w:before="120" w:after="60"/>
      </w:pPr>
      <w:r>
        <w:rPr>
          <w:b/>
          <w:color w:val="4A86E8"/>
          <w:sz w:val="24"/>
        </w:rPr>
        <w:t>Global</w:t>
      </w:r>
    </w:p>
    <w:p>
      <w:pPr>
        <w:pStyle w:val="ListBullet"/>
        <w:spacing w:after="40"/>
      </w:pPr>
      <w:r>
        <w:rPr>
          <w:sz w:val="24"/>
        </w:rPr>
        <w:t>UNESCO World Heritage Committee opens in Busan, a first for Korea</w:t>
      </w:r>
    </w:p>
    <w:p>
      <w:pPr>
        <w:pStyle w:val="ListBullet"/>
        <w:spacing w:after="40"/>
      </w:pPr>
      <w:r>
        <w:rPr>
          <w:sz w:val="24"/>
        </w:rPr>
        <w:t>U.N. to list more sites as 'in danger' from conflict or climate change</w:t>
      </w:r>
    </w:p>
    <w:p>
      <w:pPr>
        <w:pStyle w:val="ListBullet"/>
        <w:spacing w:after="40"/>
      </w:pPr>
      <w:r>
        <w:rPr>
          <w:sz w:val="24"/>
        </w:rPr>
        <w:t>World's Oldest Nearly Complete Roman Armor May Preserve the Fate of a Captured Legionary</w:t>
      </w:r>
    </w:p>
    <w:p>
      <w:pPr>
        <w:pStyle w:val="ListBullet"/>
        <w:spacing w:after="40"/>
      </w:pPr>
      <w:r>
        <w:rPr>
          <w:sz w:val="24"/>
        </w:rPr>
        <w:t>1,000-Year-Old Scandinavian-Style Houses Discovered in Poland's Viking-Age Wolin</w:t>
      </w:r>
    </w:p>
    <w:p>
      <w:pPr>
        <w:pStyle w:val="ListBullet"/>
        <w:spacing w:after="40"/>
      </w:pPr>
      <w:r>
        <w:rPr>
          <w:sz w:val="24"/>
        </w:rPr>
        <w:t>Box Office Global: 'The Odyssey' $257M Bow A Record for Christopher Nolan</w:t>
      </w:r>
    </w:p>
    <w:p>
      <w:pPr>
        <w:pStyle w:val="ListBullet"/>
        <w:spacing w:after="40"/>
      </w:pPr>
      <w:r>
        <w:rPr>
          <w:sz w:val="24"/>
        </w:rPr>
        <w:t>Future Debuts at No. 1 With 'The Real Me,' as Rolling Stones and 'Heated Rivalry' Soundtrack Also Bow in Top 10</w:t>
      </w:r>
    </w:p>
    <w:p>
      <w:pPr>
        <w:pStyle w:val="ListBullet"/>
        <w:spacing w:after="40"/>
      </w:pPr>
      <w:r>
        <w:rPr>
          <w:sz w:val="24"/>
        </w:rPr>
        <w:t>Around the Book World: Monday, July 20th, 2026</w:t>
      </w:r>
    </w:p>
    <w:p>
      <w:r>
        <w:br w:type="page"/>
      </w:r>
    </w:p>
    <w:p>
      <w:pPr>
        <w:spacing w:before="120" w:after="60"/>
      </w:pPr>
      <w:r>
        <w:rPr>
          <w:b/>
          <w:color w:val="4A86E8"/>
          <w:sz w:val="24"/>
        </w:rPr>
        <w:t>Saudi Arabia/Regional</w:t>
      </w:r>
    </w:p>
    <w:p>
      <w:pPr>
        <w:spacing w:before="80" w:after="20"/>
      </w:pPr>
      <w:r>
        <w:rPr>
          <w:b/>
          <w:color w:val="000000"/>
          <w:sz w:val="24"/>
        </w:rPr>
        <w:t>General (عام)</w:t>
      </w:r>
    </w:p>
    <w:p>
      <w:pPr>
        <w:pStyle w:val="ListBullet"/>
        <w:spacing w:after="40"/>
      </w:pPr>
      <w:r>
        <w:rPr>
          <w:b w:val="0"/>
        </w:rPr>
        <w:t>Yemen's Iran-aligned Houthis announced an immediate maritime embargo against Saudi Arabia on 20 July, threatening shipping through the Bab el-Mandeb strait and the Red Sea corridor to which the Kingdom had diverted oil exports after disruption in the Strait of Hormuz. Set against the wider US-Iran conflict, the escalation sharpens the regional-security backdrop against which inbound cultural events, visitor confidence and international participation must now be managed. (</w:t>
      </w:r>
      <w:hyperlink r:id="rId9">
        <w:r>
          <w:rPr>
            <w:color w:val="0563C1"/>
            <w:u w:val="single"/>
            <w:rFonts w:ascii="Aptos" w:hAnsi="Aptos"/>
          </w:rPr>
          <w:t xml:space="preserve">Al-Monitor</w:t>
        </w:r>
      </w:hyperlink>
      <w:r>
        <w:rPr>
          <w:b w:val="0"/>
        </w:rPr>
        <w:t>)</w:t>
      </w:r>
    </w:p>
    <w:p>
      <w:pPr>
        <w:pStyle w:val="ListBullet"/>
        <w:spacing w:after="40"/>
      </w:pPr>
      <w:r>
        <w:rPr>
          <w:b w:val="0"/>
        </w:rPr>
        <w:t>A Bloomberg Opinion column carried by Business Standard argues that global investors have long misread the Gulf as a single market, when Saudi Arabia prioritises diversification and job creation while the UAE pursues assets that reinforce its global position. The analysis is a useful reminder that the Kingdom's cultural-economy investment now sits under closer international scrutiny for delivery and returns, not ambition alone. (</w:t>
      </w:r>
      <w:hyperlink r:id="rId10">
        <w:r>
          <w:rPr>
            <w:color w:val="0563C1"/>
            <w:u w:val="single"/>
            <w:rFonts w:ascii="Aptos" w:hAnsi="Aptos"/>
          </w:rPr>
          <w:t xml:space="preserve">Business Standard</w:t>
        </w:r>
      </w:hyperlink>
      <w:r>
        <w:rPr>
          <w:b w:val="0"/>
        </w:rPr>
        <w:t>)</w:t>
      </w:r>
    </w:p>
    <w:p>
      <w:pPr>
        <w:spacing w:before="120" w:after="60"/>
      </w:pPr>
      <w:r>
        <w:rPr>
          <w:b/>
          <w:color w:val="4A86E8"/>
          <w:sz w:val="24"/>
        </w:rPr>
        <w:t>Negative Articles</w:t>
      </w:r>
    </w:p>
    <w:p>
      <w:pPr>
        <w:spacing w:before="120" w:after="60"/>
      </w:pPr>
      <w:r>
        <w:rPr>
          <w:b/>
          <w:color w:val="4A86E8"/>
          <w:sz w:val="24"/>
        </w:rPr>
        <w:t>Global</w:t>
      </w:r>
    </w:p>
    <w:p>
      <w:pPr>
        <w:spacing w:before="80" w:after="20"/>
      </w:pPr>
      <w:r>
        <w:rPr>
          <w:b/>
          <w:color w:val="000000"/>
          <w:sz w:val="24"/>
        </w:rPr>
        <w:t>Heritage (التراث)</w:t>
      </w:r>
    </w:p>
    <w:p>
      <w:pPr>
        <w:pStyle w:val="ListBullet"/>
        <w:spacing w:after="40"/>
      </w:pPr>
      <w:r>
        <w:rPr>
          <w:b w:val="0"/>
        </w:rPr>
        <w:t>South Korea has opened the 48th session of the UNESCO World Heritage Committee in Busan, its first time hosting since joining the convention in 1988, convening around 3,000 delegates over ten days to review the conservation of existing sites and weigh some 30 new nominations. With Saudi Arabia holding eight inscribed properties and an active tentative list, the session is a useful reference point for how the Kingdom positions AlUla, Diriyah and Hegra within international heritage governance. (</w:t>
      </w:r>
      <w:hyperlink r:id="rId11">
        <w:r>
          <w:rPr>
            <w:color w:val="0563C1"/>
            <w:u w:val="single"/>
            <w:rFonts w:ascii="Aptos" w:hAnsi="Aptos"/>
          </w:rPr>
          <w:t xml:space="preserve">The Korea Herald</w:t>
        </w:r>
      </w:hyperlink>
      <w:r>
        <w:rPr>
          <w:b w:val="0"/>
        </w:rPr>
        <w:t>)</w:t>
      </w:r>
    </w:p>
    <w:p>
      <w:pPr>
        <w:pStyle w:val="ListBullet"/>
        <w:spacing w:after="40"/>
      </w:pPr>
      <w:r>
        <w:rPr>
          <w:b w:val="0"/>
        </w:rPr>
        <w:t>Reporting from the same Busan session, coverage notes that UNESCO is preparing to add further World Heritage sites to its 'in danger' list, citing armed conflict and accelerating climate-change impacts. The emphasis on climate and conflict threats to heritage is a reminder that stewardship credibility increasingly rests on demonstrable conservation and risk management, an area where Saudi heritage bodies can show tangible investment. (</w:t>
      </w:r>
      <w:hyperlink r:id="rId12">
        <w:r>
          <w:rPr>
            <w:color w:val="0563C1"/>
            <w:u w:val="single"/>
            <w:rFonts w:ascii="Aptos" w:hAnsi="Aptos"/>
          </w:rPr>
          <w:t xml:space="preserve">The Japan Times</w:t>
        </w:r>
      </w:hyperlink>
      <w:r>
        <w:rPr>
          <w:b w:val="0"/>
        </w:rPr>
        <w:t>)</w:t>
      </w:r>
    </w:p>
    <w:p>
      <w:pPr>
        <w:pStyle w:val="ListBullet"/>
        <w:spacing w:after="40"/>
      </w:pPr>
      <w:r>
        <w:rPr>
          <w:b w:val="0"/>
        </w:rPr>
        <w:t>Archaeologists at the Kalkriese battlefield in Germany have uncovered an exceptionally preserved suit of Roman segmental armour, described as the oldest near-complete example known, with a nearby restraint device suggesting the wearer was captured rather than killed. Sustained global interest in high-profile excavation finds is the same appetite Saudi archaeology at AlUla, Dadan and Jabal Ikmah can draw on when framing its own discoveries for international audiences. (</w:t>
      </w:r>
      <w:hyperlink r:id="rId13">
        <w:r>
          <w:rPr>
            <w:color w:val="0563C1"/>
            <w:u w:val="single"/>
            <w:rFonts w:ascii="Aptos" w:hAnsi="Aptos"/>
          </w:rPr>
          <w:t xml:space="preserve">Arkeonews</w:t>
        </w:r>
      </w:hyperlink>
      <w:r>
        <w:rPr>
          <w:b w:val="0"/>
        </w:rPr>
        <w:t>)</w:t>
      </w:r>
    </w:p>
    <w:p>
      <w:pPr>
        <w:pStyle w:val="ListBullet"/>
        <w:spacing w:after="40"/>
      </w:pPr>
      <w:r>
        <w:rPr>
          <w:b w:val="0"/>
        </w:rPr>
        <w:t>A Polish-Danish team excavating the Silver Hill area of Wolin in north-western Poland has found four roughly millennium-old houses built with Viking-style techniques, alongside imported Norwegian whetstones pointing to long-distance craft exchange. Narratives of cross-cultural trade and exchange resonate with the Kingdom's own story of historic trade routes and cultural connection, a theme its heritage programming increasingly foregrounds. (</w:t>
      </w:r>
      <w:hyperlink r:id="rId14">
        <w:r>
          <w:rPr>
            <w:color w:val="0563C1"/>
            <w:u w:val="single"/>
            <w:rFonts w:ascii="Aptos" w:hAnsi="Aptos"/>
          </w:rPr>
          <w:t xml:space="preserve">Arkeonews</w:t>
        </w:r>
      </w:hyperlink>
      <w:r>
        <w:rPr>
          <w:b w:val="0"/>
        </w:rPr>
        <w:t>)</w:t>
      </w:r>
    </w:p>
    <w:p>
      <w:pPr>
        <w:spacing w:before="80" w:after="20"/>
      </w:pPr>
      <w:r>
        <w:rPr>
          <w:b/>
          <w:color w:val="000000"/>
          <w:sz w:val="24"/>
        </w:rPr>
        <w:t>Film (الأفلام)</w:t>
      </w:r>
    </w:p>
    <w:p>
      <w:pPr>
        <w:pStyle w:val="ListBullet"/>
        <w:spacing w:after="40"/>
      </w:pPr>
      <w:r>
        <w:rPr>
          <w:b w:val="0"/>
        </w:rPr>
        <w:t>Christopher Nolan's The Odyssey opened to a worldwide total of about 258 million dollars, the strongest launch of the director's career, with premium formats driving well over half the gross and global box office running ahead of the same point last year. The result underscores the commercial pull of large-format cinematic experiences, relevant context as the Saudi Film Commission builds production capacity and courts international productions. (</w:t>
      </w:r>
      <w:hyperlink r:id="rId15">
        <w:r>
          <w:rPr>
            <w:color w:val="0563C1"/>
            <w:u w:val="single"/>
            <w:rFonts w:ascii="Aptos" w:hAnsi="Aptos"/>
          </w:rPr>
          <w:t xml:space="preserve">Deadline</w:t>
        </w:r>
      </w:hyperlink>
      <w:r>
        <w:rPr>
          <w:b w:val="0"/>
        </w:rPr>
        <w:t>)</w:t>
      </w:r>
    </w:p>
    <w:p>
      <w:pPr>
        <w:spacing w:before="80" w:after="20"/>
      </w:pPr>
      <w:r>
        <w:rPr>
          <w:b/>
          <w:color w:val="000000"/>
          <w:sz w:val="24"/>
        </w:rPr>
        <w:t>Music (الموسيقى)</w:t>
      </w:r>
    </w:p>
    <w:p>
      <w:pPr>
        <w:pStyle w:val="ListBullet"/>
        <w:spacing w:after="40"/>
      </w:pPr>
      <w:r>
        <w:rPr>
          <w:b w:val="0"/>
        </w:rPr>
        <w:t>Future's The Real Me has debuted atop the Billboard 200 with about 131,000 equivalent album units, his twelfth career number one, moving him past Eminem into sole fifth place among artists with the most chart-topping albums. The milestone is a marker of the streaming economy's global scale, useful benchmarking as the Saudi Music Commission develops domestic artists and industry infrastructure. (</w:t>
      </w:r>
      <w:hyperlink r:id="rId16">
        <w:r>
          <w:rPr>
            <w:color w:val="0563C1"/>
            <w:u w:val="single"/>
            <w:rFonts w:ascii="Aptos" w:hAnsi="Aptos"/>
          </w:rPr>
          <w:t xml:space="preserve">Variety</w:t>
        </w:r>
      </w:hyperlink>
      <w:r>
        <w:rPr>
          <w:b w:val="0"/>
        </w:rPr>
        <w:t>)</w:t>
      </w:r>
    </w:p>
    <w:p>
      <w:pPr>
        <w:spacing w:before="80" w:after="20"/>
      </w:pPr>
      <w:r>
        <w:rPr>
          <w:b/>
          <w:color w:val="000000"/>
          <w:sz w:val="24"/>
        </w:rPr>
        <w:t>Literature, Publishing, and Translation (الأدب والنشر والترجمة)</w:t>
      </w:r>
    </w:p>
    <w:p>
      <w:pPr>
        <w:pStyle w:val="ListBullet"/>
        <w:spacing w:after="40"/>
      </w:pPr>
      <w:r>
        <w:rPr>
          <w:b w:val="0"/>
        </w:rPr>
        <w:t>Publishing Perspectives' international round-up of the global book trade highlights, among other items, an initiative routing public-library purchasing through local independent bookshops to help sustain them. Such structural support mechanisms for the book ecosystem offer models worth tracking as the Kingdom expands its literary sector and reading economy. (</w:t>
      </w:r>
      <w:hyperlink r:id="rId17">
        <w:r>
          <w:rPr>
            <w:color w:val="0563C1"/>
            <w:u w:val="single"/>
            <w:rFonts w:ascii="Aptos" w:hAnsi="Aptos"/>
          </w:rPr>
          <w:t xml:space="preserve">Publishing Perspectives</w:t>
        </w:r>
      </w:hyperlink>
      <w:r>
        <w:rPr>
          <w:b w:val="0"/>
        </w:rPr>
        <w:t>)</w:t>
      </w:r>
    </w:p>
    <w:p>
      <w:r>
        <w:br w:type="page"/>
      </w:r>
    </w:p>
    <w:p>
      <w:pPr>
        <w:spacing w:before="120" w:after="60"/>
      </w:pPr>
      <w:r>
        <w:rPr>
          <w:b/>
          <w:color w:val="4A86E8"/>
          <w:sz w:val="24"/>
        </w:rPr>
        <w:t>Risks and Opportunities</w:t>
      </w:r>
    </w:p>
    <w:p>
      <w:pPr>
        <w:spacing w:before="80" w:after="20"/>
      </w:pPr>
      <w:r>
        <w:rPr>
          <w:b/>
          <w:color w:val="C00000"/>
          <w:sz w:val="24"/>
        </w:rPr>
        <w:t>Risks</w:t>
      </w:r>
    </w:p>
    <w:p>
      <w:r>
        <w:rPr>
          <w:b/>
          <w:color w:val="000000"/>
          <w:sz w:val="24"/>
        </w:rPr>
        <w:t>1. Regional security escalation clouds visitor confidence and cultural exchange</w:t>
      </w:r>
    </w:p>
    <w:p>
      <w:r>
        <w:rPr>
          <w:sz w:val="24"/>
        </w:rPr>
        <w:t>The Houthi maritime embargo on Saudi Arabia and the wider US-Iran conflict sharpen the regional-security backdrop for a Kingdom actively courting international festivals, tourism and cultural participation; heightened conflict perceptions can deter overseas artists, lenders and audiences even where cultural venues themselves are unaffected.</w:t>
      </w:r>
    </w:p>
    <w:p>
      <w:pPr>
        <w:spacing w:after="60"/>
      </w:pPr>
      <w:r>
        <w:rPr>
          <w:b/>
          <w:sz w:val="24"/>
        </w:rPr>
        <w:t xml:space="preserve">Source: </w:t>
      </w:r>
      <w:hyperlink r:id="rId9">
        <w:r>
          <w:rPr>
            <w:color w:val="0563C1"/>
            <w:u w:val="single"/>
            <w:rFonts w:ascii="Aptos" w:hAnsi="Aptos"/>
          </w:rPr>
          <w:t xml:space="preserve">Al-Monitor</w:t>
        </w:r>
      </w:hyperlink>
      <w:r>
        <w:rPr>
          <w:b w:val="0"/>
        </w:rPr>
        <w:t xml:space="preserve">, </w:t>
      </w:r>
      <w:hyperlink r:id="rId18">
        <w:r>
          <w:rPr>
            <w:color w:val="0563C1"/>
            <w:u w:val="single"/>
            <w:rFonts w:ascii="Aptos" w:hAnsi="Aptos"/>
          </w:rPr>
          <w:t xml:space="preserve">CNBC</w:t>
        </w:r>
      </w:hyperlink>
    </w:p>
    <w:p>
      <w:r>
        <w:rPr>
          <w:b/>
          <w:sz w:val="24"/>
        </w:rPr>
        <w:t xml:space="preserve">Consideration: </w:t>
      </w:r>
      <w:r>
        <w:rPr>
          <w:sz w:val="24"/>
        </w:rPr>
        <w:t>Keep the Ministry's cultural narrative distinct from the security story, foregrounding continuity of programming, public access, the safety of international participants and credible delivery rather than engaging the conflict framing directly.</w:t>
      </w:r>
    </w:p>
    <w:p>
      <w:r>
        <w:rPr>
          <w:b/>
          <w:color w:val="000000"/>
          <w:sz w:val="24"/>
        </w:rPr>
        <w:t>2. External scrutiny of Gulf investment sharpens delivery expectations</w:t>
      </w:r>
    </w:p>
    <w:p>
      <w:r>
        <w:rPr>
          <w:sz w:val="24"/>
        </w:rPr>
        <w:t>With global finance reassessing Gulf capital amid regional tension, Saudi Arabia's Vision 2030 investment, including its cultural economy, faces closer questions about execution and returns rather than ambition alone.</w:t>
      </w:r>
    </w:p>
    <w:p>
      <w:pPr>
        <w:spacing w:after="60"/>
      </w:pPr>
      <w:r>
        <w:rPr>
          <w:b/>
          <w:sz w:val="24"/>
        </w:rPr>
        <w:t xml:space="preserve">Source: </w:t>
      </w:r>
      <w:hyperlink r:id="rId10">
        <w:r>
          <w:rPr>
            <w:color w:val="0563C1"/>
            <w:u w:val="single"/>
            <w:rFonts w:ascii="Aptos" w:hAnsi="Aptos"/>
          </w:rPr>
          <w:t xml:space="preserve">Business Standard</w:t>
        </w:r>
      </w:hyperlink>
    </w:p>
    <w:p>
      <w:r>
        <w:rPr>
          <w:b/>
          <w:sz w:val="24"/>
        </w:rPr>
        <w:t xml:space="preserve">Consideration: </w:t>
      </w:r>
      <w:r>
        <w:rPr>
          <w:sz w:val="24"/>
        </w:rPr>
        <w:t>Reinforce transparent, delivery-focused communication on cultural-sector investment, anchored in Saudi talent, jobs, institutional professionalism and completed milestones, to separate culture-sector spending from speculative capital narratives.</w:t>
      </w:r>
    </w:p>
    <w:p>
      <w:pPr>
        <w:spacing w:before="80" w:after="20"/>
      </w:pPr>
      <w:r>
        <w:rPr>
          <w:b/>
          <w:color w:val="A66500"/>
          <w:sz w:val="24"/>
        </w:rPr>
        <w:t>Opportunities</w:t>
      </w:r>
    </w:p>
    <w:p>
      <w:r>
        <w:rPr>
          <w:b/>
          <w:color w:val="000000"/>
          <w:sz w:val="24"/>
        </w:rPr>
        <w:t>1. UNESCO heritage spotlight is an opening for cultural diplomacy</w:t>
      </w:r>
    </w:p>
    <w:p>
      <w:r>
        <w:rPr>
          <w:sz w:val="24"/>
        </w:rPr>
        <w:t>The 48th World Heritage Committee session in Busan, reviewing around 30 nominations and an expanded 'in danger' list, puts heritage governance in the global spotlight at a moment when Saudi Arabia holds eight inscribed properties and is advancing further candidates.</w:t>
      </w:r>
    </w:p>
    <w:p>
      <w:pPr>
        <w:spacing w:after="60"/>
      </w:pPr>
      <w:r>
        <w:rPr>
          <w:b/>
          <w:sz w:val="24"/>
        </w:rPr>
        <w:t xml:space="preserve">Source: </w:t>
      </w:r>
      <w:hyperlink r:id="rId11">
        <w:r>
          <w:rPr>
            <w:color w:val="0563C1"/>
            <w:u w:val="single"/>
            <w:rFonts w:ascii="Aptos" w:hAnsi="Aptos"/>
          </w:rPr>
          <w:t xml:space="preserve">The Korea Herald</w:t>
        </w:r>
      </w:hyperlink>
      <w:r>
        <w:rPr>
          <w:b w:val="0"/>
        </w:rPr>
        <w:t xml:space="preserve">, </w:t>
      </w:r>
      <w:hyperlink r:id="rId12">
        <w:r>
          <w:rPr>
            <w:color w:val="0563C1"/>
            <w:u w:val="single"/>
            <w:rFonts w:ascii="Aptos" w:hAnsi="Aptos"/>
          </w:rPr>
          <w:t xml:space="preserve">The Japan Times</w:t>
        </w:r>
      </w:hyperlink>
    </w:p>
    <w:p>
      <w:r>
        <w:rPr>
          <w:b/>
          <w:sz w:val="24"/>
        </w:rPr>
        <w:t xml:space="preserve">Consideration: </w:t>
      </w:r>
      <w:r>
        <w:rPr>
          <w:sz w:val="24"/>
        </w:rPr>
        <w:t>Position the Kingdom's conservation record at AlUla, Diriyah and Hegra within the international heritage agenda and constructive multilateral engagement, timing announcements to the global heritage news cycle.</w:t>
      </w:r>
    </w:p>
    <w:p>
      <w:r>
        <w:rPr>
          <w:b/>
          <w:color w:val="000000"/>
          <w:sz w:val="24"/>
        </w:rPr>
        <w:t>2. Global heritage and creative-industry momentum offers a narrative slipstream</w:t>
      </w:r>
    </w:p>
    <w:p>
      <w:r>
        <w:rPr>
          <w:sz w:val="24"/>
        </w:rPr>
        <w:t>Sustained international interest in archaeological discovery, together with buoyant global film and publishing markets, provides a favourable backdrop for the Ministry to align its own archaeology and creative-sector storytelling.</w:t>
      </w:r>
    </w:p>
    <w:p>
      <w:pPr>
        <w:spacing w:after="60"/>
      </w:pPr>
      <w:r>
        <w:rPr>
          <w:b/>
          <w:sz w:val="24"/>
        </w:rPr>
        <w:t xml:space="preserve">Source: </w:t>
      </w:r>
      <w:hyperlink r:id="rId13">
        <w:r>
          <w:rPr>
            <w:color w:val="0563C1"/>
            <w:u w:val="single"/>
            <w:rFonts w:ascii="Aptos" w:hAnsi="Aptos"/>
          </w:rPr>
          <w:t xml:space="preserve">Arkeonews</w:t>
        </w:r>
      </w:hyperlink>
      <w:r>
        <w:rPr>
          <w:b w:val="0"/>
        </w:rPr>
        <w:t xml:space="preserve">, </w:t>
      </w:r>
      <w:hyperlink r:id="rId15">
        <w:r>
          <w:rPr>
            <w:color w:val="0563C1"/>
            <w:u w:val="single"/>
            <w:rFonts w:ascii="Aptos" w:hAnsi="Aptos"/>
          </w:rPr>
          <w:t xml:space="preserve">Deadline</w:t>
        </w:r>
      </w:hyperlink>
    </w:p>
    <w:p>
      <w:r>
        <w:rPr>
          <w:b/>
          <w:sz w:val="24"/>
        </w:rPr>
        <w:t xml:space="preserve">Consideration: </w:t>
      </w:r>
      <w:r>
        <w:rPr>
          <w:sz w:val="24"/>
        </w:rPr>
        <w:t>Connect individual Saudi heritage and creative announcements into one coherent national narrative rather than isolated items, drawing on the current global appetite for cultural discovery.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l-monitor.com/originals/2026/07/houthis-impose-saudi-naval-blockade-opening-new-front-us-iran-war" TargetMode="External"/><Relationship Id="rId10" Type="http://schemas.openxmlformats.org/officeDocument/2006/relationships/hyperlink" Target="https://www.business-standard.com/world-news/what-wall-street-never-understood-about-gulf-investors-and-their-priorities-126072000259_1.html" TargetMode="External"/><Relationship Id="rId11" Type="http://schemas.openxmlformats.org/officeDocument/2006/relationships/hyperlink" Target="https://www.koreaherald.com/article/10812733" TargetMode="External"/><Relationship Id="rId12" Type="http://schemas.openxmlformats.org/officeDocument/2006/relationships/hyperlink" Target="https://www.japantimes.co.jp/environment/2026/07/20/climate-change/un-danger-conflict-climate-change/" TargetMode="External"/><Relationship Id="rId13" Type="http://schemas.openxmlformats.org/officeDocument/2006/relationships/hyperlink" Target="https://arkeonews.net/worlds-oldest-nearly-complete-roman-armor-may-preserve-the-fate-of-a-captured-legionary/" TargetMode="External"/><Relationship Id="rId14" Type="http://schemas.openxmlformats.org/officeDocument/2006/relationships/hyperlink" Target="https://arkeonews.net/1000-year-old-scandinavian-style-houses-discovered-in-polands-viking-age-wolin/" TargetMode="External"/><Relationship Id="rId15" Type="http://schemas.openxmlformats.org/officeDocument/2006/relationships/hyperlink" Target="https://deadline.com/2026/07/box-office-global-the-odyssey-1236996979/" TargetMode="External"/><Relationship Id="rId16" Type="http://schemas.openxmlformats.org/officeDocument/2006/relationships/hyperlink" Target="https://variety.com/2026/music/news/future-album-billbord-chart-number-one-rolling-stones-1236816201/" TargetMode="External"/><Relationship Id="rId17" Type="http://schemas.openxmlformats.org/officeDocument/2006/relationships/hyperlink" Target="https://publishingperspectives.com/2026/07/around-the-book-world-monday-july-20th-2026/" TargetMode="External"/><Relationship Id="rId18" Type="http://schemas.openxmlformats.org/officeDocument/2006/relationships/hyperlink" Target="https://www.cnbc.com/2026/07/20/iran-houthi-yemen-saudi-arabi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