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21 July 2026</w:t>
      </w:r>
    </w:p>
    <w:p>
      <w:pPr>
        <w:pStyle w:val="NoSpacing"/>
      </w:pPr>
    </w:p>
    <w:p>
      <w:pPr>
        <w:pStyle w:val="NoSpacing"/>
      </w:pPr>
      <w:r>
        <w:rPr>
          <w:b/>
          <w:color w:val="4A86E8"/>
        </w:rPr>
        <w:t>Saudi Arabia/Regional</w:t>
      </w:r>
    </w:p>
    <w:p>
      <w:pPr>
        <w:pStyle w:val="ListBullet"/>
      </w:pPr>
      <w:r>
        <w:t>Yemen's Houthis declare naval blockade on Saudi Arabia</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ListBullet"/>
      </w:pPr>
      <w:r>
        <w:t>The Armory Show reveals 230-gallery line-up and move to late September</w:t>
      </w:r>
    </w:p>
    <w:p>
      <w:pPr>
        <w:pStyle w:val="ListBullet"/>
      </w:pPr>
      <w:r>
        <w:t>Newly discovered Saqqara tombs rewrites history of New Kingdom</w:t>
      </w:r>
    </w:p>
    <w:p>
      <w:pPr>
        <w:pStyle w:val="ListBullet"/>
      </w:pPr>
      <w:r>
        <w:t>"Witch's Grave" excavation sheds new light on neolithic monument</w:t>
      </w:r>
    </w:p>
    <w:p>
      <w:pPr>
        <w:pStyle w:val="ListBullet"/>
      </w:pPr>
      <w:r>
        <w:t>Rare archaic necropolis unearthed in southern Italy reveals exceptional ancient treasures</w:t>
      </w:r>
    </w:p>
    <w:p>
      <w:pPr>
        <w:pStyle w:val="ListBullet"/>
      </w:pPr>
      <w:r>
        <w:t>Toronto Film Festival Unveils First 2026 Lineups</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Yemen's Iran-aligned Houthi movement has declared a naval blockade on Saudi Arabia, days after the two sides exchanged fire directly for the first time in years, with analysts warning the move could disrupt shipping through the Bab el-Mandeb strait and unsettle global energy markets. The escalation sharpens the regional-security backdrop against which the Kingdom is staging its cultural and tourism ambitions, making it more important that the Ministry's programming narrative stays anchored in stability, safe international participation and credible delivery. (</w:t>
      </w:r>
      <w:hyperlink r:id="rId9">
        <w:r>
          <w:rPr>
            <w:color w:val="0000FF"/>
            <w:u w:val="single"/>
            <w:rFonts w:ascii="Times New Roman" w:hAnsi="Times New Roman"/>
          </w:rPr>
          <w:t xml:space="preserve">Nikkei Asia</w:t>
        </w:r>
      </w:hyperlink>
      <w:r>
        <w:rPr>
          <w:b w:val="0"/>
        </w:rPr>
        <w:t>)</w:t>
      </w:r>
    </w:p>
    <w:p>
      <w:pPr>
        <w:pStyle w:val="NoSpacing"/>
      </w:pPr>
    </w:p>
    <w:p>
      <w:pPr>
        <w:pStyle w:val="NoSpacing"/>
      </w:pPr>
      <w:r>
        <w:rPr>
          <w:b/>
          <w:color w:val="EE0000"/>
        </w:rPr>
        <w:t>Negative Articles</w:t>
      </w:r>
    </w:p>
    <w:p>
      <w:pPr>
        <w:pStyle w:val="NoSpacing"/>
      </w:pPr>
    </w:p>
    <w:p>
      <w:pPr>
        <w:pStyle w:val="NoSpacing"/>
      </w:pPr>
      <w:r>
        <w:rPr>
          <w:b/>
          <w:color w:val="4A86E8"/>
        </w:rPr>
        <w:t>Global</w:t>
      </w:r>
    </w:p>
    <w:p>
      <w:pPr>
        <w:pStyle w:val="NoSpacing"/>
      </w:pPr>
      <w:r>
        <w:rPr>
          <w:b/>
          <w:color w:val="000000"/>
        </w:rPr>
        <w:t>Visual Arts:</w:t>
      </w:r>
    </w:p>
    <w:p>
      <w:pPr>
        <w:pStyle w:val="ListBullet"/>
      </w:pPr>
      <w:r>
        <w:rPr>
          <w:b w:val="0"/>
        </w:rPr>
        <w:t>New York's Armory Show has revealed a 230-gallery line-up for its 2026 edition and confirmed a move to late September, with an expanded emerging-gallery section and a curatorial programme foregrounding Caribbean art and diasporas across the Americas. As major fairs compete for autumn calendar space and international dealer attention, the reshuffle is a useful benchmark for Saudi Arabia's own fast-growing art-fair and gallery ecosystem as it seeks a fixed place on the global circuit. (</w:t>
      </w:r>
      <w:hyperlink r:id="rId10">
        <w:r>
          <w:rPr>
            <w:color w:val="0000FF"/>
            <w:u w:val="single"/>
            <w:rFonts w:ascii="Times New Roman" w:hAnsi="Times New Roman"/>
          </w:rPr>
          <w:t xml:space="preserve">The Art Newspaper</w:t>
        </w:r>
      </w:hyperlink>
      <w:r>
        <w:rPr>
          <w:b w:val="0"/>
        </w:rPr>
        <w:t>)</w:t>
      </w:r>
    </w:p>
    <w:p>
      <w:pPr>
        <w:pStyle w:val="NoSpacing"/>
      </w:pPr>
      <w:r>
        <w:rPr>
          <w:b/>
          <w:color w:val="000000"/>
        </w:rPr>
        <w:t>Heritage:</w:t>
      </w:r>
    </w:p>
    <w:p>
      <w:pPr>
        <w:pStyle w:val="ListBullet"/>
      </w:pPr>
      <w:r>
        <w:rPr>
          <w:b w:val="0"/>
        </w:rPr>
        <w:t>An Egyptian archaeological mission has uncovered three rock-cut New Kingdom tombs in the Bubasteion necropolis at Saqqara, including the burial of a senior official linked to the House of Ptah, in a find that adds fresh detail to Egypt's administrative and military history. The discovery underlines the sustained global appetite for major regional archaeology, a space in which Saudi Arabia is investing heavily through sites such as AlUla, Hegra and Al-Faw. (</w:t>
      </w:r>
      <w:hyperlink r:id="rId11">
        <w:r>
          <w:rPr>
            <w:color w:val="0000FF"/>
            <w:u w:val="single"/>
            <w:rFonts w:ascii="Times New Roman" w:hAnsi="Times New Roman"/>
          </w:rPr>
          <w:t xml:space="preserve">Egypt Independent</w:t>
        </w:r>
      </w:hyperlink>
      <w:r>
        <w:rPr>
          <w:b w:val="0"/>
        </w:rPr>
        <w:t>)</w:t>
      </w:r>
    </w:p>
    <w:p>
      <w:pPr>
        <w:pStyle w:val="ListBullet"/>
      </w:pPr>
      <w:r>
        <w:rPr>
          <w:b w:val="0"/>
        </w:rPr>
        <w:t>Archaeologists on South Uist in Scotland have excavated the Neolithic chambered cairn known locally as the "Witch's Grave", recovering pottery and flint tools that shed light on how the roughly 6,000-year-old burial monument was built and later reused. The community-led project is a reminder of how sustained local stewardship can keep prehistoric heritage publicly engaging, a model relevant to the Kingdom's own agenda of widening access to its heritage sites. (</w:t>
      </w:r>
      <w:hyperlink r:id="rId12">
        <w:r>
          <w:rPr>
            <w:color w:val="0000FF"/>
            <w:u w:val="single"/>
            <w:rFonts w:ascii="Times New Roman" w:hAnsi="Times New Roman"/>
          </w:rPr>
          <w:t xml:space="preserve">HeritageDaily</w:t>
        </w:r>
      </w:hyperlink>
      <w:r>
        <w:rPr>
          <w:b w:val="0"/>
        </w:rPr>
        <w:t>)</w:t>
      </w:r>
    </w:p>
    <w:p>
      <w:pPr>
        <w:pStyle w:val="ListBullet"/>
      </w:pPr>
      <w:r>
        <w:rPr>
          <w:b w:val="0"/>
        </w:rPr>
        <w:t>An archaic necropolis of some 85 graves dating to the eighth to sixth centuries BCE has been uncovered beneath the Garofalo pasta factory in Gragnano, near Naples, yielding decorated pottery, jewellery, weapons and imported Egyptian scarabs in exceptionally preserved tuff burial chambers. Surfacing through Italy's preventive-archaeology regime, the find shows how embedding archaeological safeguards in development can turn construction works into heritage opportunities rather than obstacles — a balance central to Saudi Arabia's giga-project era. (</w:t>
      </w:r>
      <w:hyperlink r:id="rId13">
        <w:r>
          <w:rPr>
            <w:color w:val="0000FF"/>
            <w:u w:val="single"/>
            <w:rFonts w:ascii="Times New Roman" w:hAnsi="Times New Roman"/>
          </w:rPr>
          <w:t xml:space="preserve">HeritageDaily</w:t>
        </w:r>
      </w:hyperlink>
      <w:r>
        <w:rPr>
          <w:b w:val="0"/>
        </w:rPr>
        <w:t>)</w:t>
      </w:r>
    </w:p>
    <w:p>
      <w:pPr>
        <w:pStyle w:val="NoSpacing"/>
      </w:pPr>
      <w:r>
        <w:rPr>
          <w:b/>
          <w:color w:val="000000"/>
        </w:rPr>
        <w:t>Film:</w:t>
      </w:r>
    </w:p>
    <w:p>
      <w:pPr>
        <w:pStyle w:val="ListBullet"/>
      </w:pPr>
      <w:r>
        <w:rPr>
          <w:b w:val="0"/>
        </w:rPr>
        <w:t>The Toronto International Film Festival has unveiled the first films in its 2026 Gala and Special Presentations line-up, revealing more than 60 titles from directors including Pedro Almodóvar, Danny Boyle, Hirokazu Kore-eda and Chris Rock ahead of its 51st edition in September. As one of the industry's principal launch-pads, TIFF's programming choices signal the international festival appetite that Saudi Arabia's own film sector and festivals are working to tap into. (</w:t>
      </w:r>
      <w:hyperlink r:id="rId14">
        <w:r>
          <w:rPr>
            <w:color w:val="0000FF"/>
            <w:u w:val="single"/>
            <w:rFonts w:ascii="Times New Roman" w:hAnsi="Times New Roman"/>
          </w:rPr>
          <w:t xml:space="preserve">Deadline</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maritime escalation clouds the stability backdrop for Saudi cultural tourism</w:t>
      </w:r>
    </w:p>
    <w:p>
      <w:pPr>
        <w:pStyle w:val="NoSpacing"/>
      </w:pPr>
      <w:r>
        <w:t>The Houthi declaration of a naval blockade on Saudi Arabia, following the first direct exchange of fire between the two sides in years, has revived concerns over Red Sea shipping security and potential energy-market disruption. For the cultural portfolio, the principal risk is narrative contamination: international audiences may conflate a regional-security story with the Kingdom's cultural-tourism proposition.</w:t>
      </w:r>
    </w:p>
    <w:p>
      <w:pPr>
        <w:pStyle w:val="NoSpacing"/>
      </w:pPr>
      <w:r>
        <w:rPr>
          <w:b/>
        </w:rPr>
        <w:t xml:space="preserve">Source: </w:t>
      </w:r>
      <w:hyperlink r:id="rId9">
        <w:r>
          <w:rPr>
            <w:color w:val="0000FF"/>
            <w:u w:val="single"/>
            <w:rFonts w:ascii="Times New Roman" w:hAnsi="Times New Roman"/>
          </w:rPr>
          <w:t xml:space="preserve">Nikkei Asia</w:t>
        </w:r>
      </w:hyperlink>
      <w:r>
        <w:rPr>
          <w:b w:val="0"/>
        </w:rPr>
        <w:t xml:space="preserve">, </w:t>
      </w:r>
      <w:hyperlink r:id="rId15">
        <w:r>
          <w:rPr>
            <w:color w:val="0000FF"/>
            <w:u w:val="single"/>
            <w:rFonts w:ascii="Times New Roman" w:hAnsi="Times New Roman"/>
          </w:rPr>
          <w:t xml:space="preserve">Al Jazeera</w:t>
        </w:r>
      </w:hyperlink>
    </w:p>
    <w:p>
      <w:pPr>
        <w:pStyle w:val="NoSpacing"/>
      </w:pPr>
      <w:r>
        <w:rPr>
          <w:b/>
        </w:rPr>
        <w:t xml:space="preserve">Consideration: </w:t>
      </w:r>
      <w:r>
        <w:t>Keep the Ministry's cultural messaging deliberately distinct from the security cycle, foregrounding credible delivery, public access, Saudi talent and safe international participation rather than engaging the geopolitical narrative directly.</w:t>
      </w:r>
    </w:p>
    <w:p>
      <w:pPr>
        <w:pStyle w:val="NoSpacing"/>
      </w:pPr>
    </w:p>
    <w:p>
      <w:pPr>
        <w:pStyle w:val="NoSpacing"/>
      </w:pPr>
      <w:r>
        <w:rPr>
          <w:b/>
          <w:color w:val="000000"/>
        </w:rPr>
        <w:t>2. Perceived visitor-confidence risk from heightened Red Sea tensions</w:t>
      </w:r>
    </w:p>
    <w:p>
      <w:pPr>
        <w:pStyle w:val="NoSpacing"/>
      </w:pPr>
      <w:r>
        <w:t>Coverage framing the blockade as a threat to global trade and energy supply carries a second-order reputational risk for inbound cultural tourism and international events, where perceived safety shapes attendance decisions months in advance.</w:t>
      </w:r>
    </w:p>
    <w:p>
      <w:pPr>
        <w:pStyle w:val="NoSpacing"/>
      </w:pPr>
      <w:r>
        <w:rPr>
          <w:b/>
        </w:rPr>
        <w:t xml:space="preserve">Source: </w:t>
      </w:r>
      <w:hyperlink r:id="rId9">
        <w:r>
          <w:rPr>
            <w:color w:val="0000FF"/>
            <w:u w:val="single"/>
            <w:rFonts w:ascii="Times New Roman" w:hAnsi="Times New Roman"/>
          </w:rPr>
          <w:t xml:space="preserve">Nikkei Asia</w:t>
        </w:r>
      </w:hyperlink>
    </w:p>
    <w:p>
      <w:pPr>
        <w:pStyle w:val="NoSpacing"/>
      </w:pPr>
      <w:r>
        <w:rPr>
          <w:b/>
        </w:rPr>
        <w:t xml:space="preserve">Consideration: </w:t>
      </w:r>
      <w:r>
        <w:t>Reinforce through partners and programming that flagship cultural venues and festivals continue to operate normally, and avoid any messaging that inadvertently ties the cultural calendar to the maritime-security story.</w:t>
      </w:r>
    </w:p>
    <w:p>
      <w:pPr>
        <w:pStyle w:val="NoSpacing"/>
      </w:pPr>
    </w:p>
    <w:p>
      <w:pPr>
        <w:pStyle w:val="NoSpacing"/>
      </w:pPr>
      <w:r>
        <w:rPr>
          <w:b/>
          <w:color w:val="A66500"/>
        </w:rPr>
        <w:t>Opportunities</w:t>
      </w:r>
    </w:p>
    <w:p>
      <w:pPr>
        <w:pStyle w:val="NoSpacing"/>
      </w:pPr>
      <w:r>
        <w:rPr>
          <w:b/>
          <w:color w:val="000000"/>
        </w:rPr>
        <w:t>1. Global heritage-discovery momentum favours Saudi Arabia's archaeology positioning</w:t>
      </w:r>
    </w:p>
    <w:p>
      <w:pPr>
        <w:pStyle w:val="NoSpacing"/>
      </w:pPr>
      <w:r>
        <w:t>A cluster of high-profile archaeological discoveries this week — New Kingdom tombs at Saqqara, a Neolithic cairn in Scotland and an exceptionally preserved archaic necropolis in southern Italy — underlines a sustained global media appetite for major heritage finds. Saudi Arabia, with active programmes at AlUla, Hegra, Dadan and Al-Faw, is well placed to meet this interest with its own discovery-led storytelling.</w:t>
      </w:r>
    </w:p>
    <w:p>
      <w:pPr>
        <w:pStyle w:val="NoSpacing"/>
      </w:pPr>
      <w:r>
        <w:rPr>
          <w:b/>
        </w:rPr>
        <w:t xml:space="preserve">Source: </w:t>
      </w:r>
      <w:hyperlink r:id="rId11">
        <w:r>
          <w:rPr>
            <w:color w:val="0000FF"/>
            <w:u w:val="single"/>
            <w:rFonts w:ascii="Times New Roman" w:hAnsi="Times New Roman"/>
          </w:rPr>
          <w:t xml:space="preserve">Egypt Independent</w:t>
        </w:r>
      </w:hyperlink>
      <w:r>
        <w:rPr>
          <w:b w:val="0"/>
        </w:rPr>
        <w:t xml:space="preserve">, </w:t>
      </w:r>
      <w:hyperlink r:id="rId12">
        <w:r>
          <w:rPr>
            <w:color w:val="0000FF"/>
            <w:u w:val="single"/>
            <w:rFonts w:ascii="Times New Roman" w:hAnsi="Times New Roman"/>
          </w:rPr>
          <w:t xml:space="preserve">HeritageDaily</w:t>
        </w:r>
      </w:hyperlink>
      <w:r>
        <w:rPr>
          <w:b w:val="0"/>
        </w:rPr>
        <w:t xml:space="preserve">, </w:t>
      </w:r>
      <w:hyperlink r:id="rId13">
        <w:r>
          <w:rPr>
            <w:color w:val="0000FF"/>
            <w:u w:val="single"/>
            <w:rFonts w:ascii="Times New Roman" w:hAnsi="Times New Roman"/>
          </w:rPr>
          <w:t xml:space="preserve">HeritageDaily</w:t>
        </w:r>
      </w:hyperlink>
    </w:p>
    <w:p>
      <w:pPr>
        <w:pStyle w:val="NoSpacing"/>
      </w:pPr>
      <w:r>
        <w:rPr>
          <w:b/>
        </w:rPr>
        <w:t xml:space="preserve">Consideration: </w:t>
      </w:r>
      <w:r>
        <w:t>Frame Saudi archaeological progress within the same globally legible "discovery" narrative these stories command, timing announcements to periods of heightened international heritage attention and connecting individual finds to the Kingdom's broader heritage-stewardship story.</w:t>
      </w:r>
    </w:p>
    <w:p>
      <w:pPr>
        <w:pStyle w:val="NoSpacing"/>
      </w:pPr>
    </w:p>
    <w:p>
      <w:pPr>
        <w:pStyle w:val="NoSpacing"/>
      </w:pPr>
      <w:r>
        <w:rPr>
          <w:b/>
          <w:color w:val="000000"/>
        </w:rPr>
        <w:t>2. International arts-and-film calendar offers benchmarking and partnership openings</w:t>
      </w:r>
    </w:p>
    <w:p>
      <w:pPr>
        <w:pStyle w:val="NoSpacing"/>
      </w:pPr>
      <w:r>
        <w:t>The Armory Show's expanded 2026 gallery line-up and the Toronto International Film Festival's 60-plus-title programme show how the autumn arts-and-film calendar concentrates global attention and dealmaking. Saudi Arabia's maturing gallery scene and film sector can treat these fixtures as both benchmark and partnership pipeline.</w:t>
      </w:r>
    </w:p>
    <w:p>
      <w:pPr>
        <w:pStyle w:val="NoSpacing"/>
      </w:pPr>
      <w:r>
        <w:rPr>
          <w:b/>
        </w:rPr>
        <w:t xml:space="preserve">Source: </w:t>
      </w:r>
      <w:hyperlink r:id="rId10">
        <w:r>
          <w:rPr>
            <w:color w:val="0000FF"/>
            <w:u w:val="single"/>
            <w:rFonts w:ascii="Times New Roman" w:hAnsi="Times New Roman"/>
          </w:rPr>
          <w:t xml:space="preserve">The Art Newspaper</w:t>
        </w:r>
      </w:hyperlink>
      <w:r>
        <w:rPr>
          <w:b w:val="0"/>
        </w:rPr>
        <w:t xml:space="preserve">, </w:t>
      </w:r>
      <w:hyperlink r:id="rId14">
        <w:r>
          <w:rPr>
            <w:color w:val="0000FF"/>
            <w:u w:val="single"/>
            <w:rFonts w:ascii="Times New Roman" w:hAnsi="Times New Roman"/>
          </w:rPr>
          <w:t xml:space="preserve">Deadline</w:t>
        </w:r>
      </w:hyperlink>
    </w:p>
    <w:p>
      <w:pPr>
        <w:pStyle w:val="NoSpacing"/>
      </w:pPr>
      <w:r>
        <w:rPr>
          <w:b/>
        </w:rPr>
        <w:t xml:space="preserve">Consideration: </w:t>
      </w:r>
      <w:r>
        <w:t>Pursue selective presence and co-programming at anchor global events to build reciprocal visibility, while continuing to develop the Kingdom's own fairs and festivals as a complementary destination rather than a direct competitor.</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sia.nikkei.com/spotlight/iran-tensions/iran-war/yemen-s-houthis-declare-naval-blockade-on-saudi-arabia" TargetMode="External"/><Relationship Id="rId10" Type="http://schemas.openxmlformats.org/officeDocument/2006/relationships/hyperlink" Target="https://www.theartnewspaper.com/2026/07/20/armory-show-unveils-230-gallery-line-up-after-moving-fair-to-late-september" TargetMode="External"/><Relationship Id="rId11" Type="http://schemas.openxmlformats.org/officeDocument/2006/relationships/hyperlink" Target="https://www.egyptindependent.com/newly-discovered-saqqara-tombs-rewrites-history-of-new-kingdom/" TargetMode="External"/><Relationship Id="rId12" Type="http://schemas.openxmlformats.org/officeDocument/2006/relationships/hyperlink" Target="https://www.heritagedaily.com/2026/07/witchs-grave-excavation-sheds-new-light-on-neolithic-monument/158555" TargetMode="External"/><Relationship Id="rId13" Type="http://schemas.openxmlformats.org/officeDocument/2006/relationships/hyperlink" Target="https://www.heritagedaily.com/2026/07/rare-archaic-necropolis-unearthed-in-southern-italy-reveals-exceptional-ancient-treasures/158665" TargetMode="External"/><Relationship Id="rId14" Type="http://schemas.openxmlformats.org/officeDocument/2006/relationships/hyperlink" Target="https://deadline.com/2026/07/toronto-film-festival-2026-line-up-1236998190/" TargetMode="External"/><Relationship Id="rId15" Type="http://schemas.openxmlformats.org/officeDocument/2006/relationships/hyperlink" Target="https://www.aljazeera.com/video/newsfeed/2026/7/20/houthis-announce-maritime-blockade-on-saudi-arab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