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23 August 2026</w:t>
      </w:r>
    </w:p>
    <w:p>
      <w:pPr>
        <w:pStyle w:val="NoSpacing"/>
      </w:pPr>
    </w:p>
    <w:p>
      <w:pPr>
        <w:pStyle w:val="NoSpacing"/>
      </w:pPr>
      <w:r>
        <w:rPr>
          <w:b/>
          <w:color w:val="4A86E8"/>
        </w:rPr>
        <w:t>Saudi Arabia/Regional</w:t>
      </w:r>
    </w:p>
    <w:p>
      <w:pPr>
        <w:pStyle w:val="ListBullet"/>
      </w:pPr>
      <w:r>
        <w:t>France Accelerates Luxury Tourism Growth With Macron-Mohammed bin Salman Strategic Partnership</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4,300-Year-Old Tomb in Inner Mongolia Reveals Earliest Known Dragon-Phoenix Pairing in Northern China</w:t>
      </w:r>
    </w:p>
    <w:p>
      <w:pPr>
        <w:pStyle w:val="ListBullet"/>
      </w:pPr>
      <w:r>
        <w:t>Roman Mass Grave Beneath Vienna Soccer Field Reveals Unusual Concentration of Pelvic Wounds</w:t>
      </w:r>
    </w:p>
    <w:p>
      <w:pPr>
        <w:pStyle w:val="ListBullet"/>
      </w:pPr>
      <w:r>
        <w:t>One of Byzantium's Most Striking Images of Mary's "Last Sleep" Survives on a Mosque Wall in Istanbul</w:t>
      </w:r>
    </w:p>
    <w:p>
      <w:pPr>
        <w:pStyle w:val="ListBullet"/>
      </w:pPr>
      <w:r>
        <w:t>1,700-Year-Old Chinese Armor Still Shines Thanks to an Ancient Metalworking Secret</w:t>
      </w:r>
    </w:p>
    <w:p>
      <w:pPr>
        <w:pStyle w:val="ListBullet"/>
      </w:pPr>
      <w:r>
        <w:t>Antiquity exhibition at Wawel castle / NArchitekTURA</w:t>
      </w:r>
    </w:p>
    <w:p>
      <w:pPr>
        <w:pStyle w:val="ListBullet"/>
      </w:pPr>
      <w:r>
        <w:t>Estúdio Campana creates 'woven jewellery box' for Tiffany &amp; Co in São Paulo</w:t>
      </w:r>
    </w:p>
    <w:p>
      <w:pPr>
        <w:pStyle w:val="ListBullet"/>
      </w:pPr>
      <w:r>
        <w:t>'Light and sea breeze shape the viewing' of exhibits at open-air art gallery in Mexico</w:t>
      </w:r>
    </w:p>
    <w:p>
      <w:pPr>
        <w:pStyle w:val="ListBullet"/>
      </w:pPr>
      <w:r>
        <w:t>KTGY revamps interiors of Fairmont Hotel in Chicago</w:t>
      </w:r>
    </w:p>
    <w:p>
      <w:pPr>
        <w:pStyle w:val="ListBullet"/>
      </w:pPr>
      <w:r>
        <w:t>What is Blue Infrastructure? Rethinking Water's Role in City Design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Saudi Arabia and France have deepened cultural and heritage-tourism cooperation during Crown Prince Mohammed bin Salman's state visit to Paris, with AlUla, Diriyah and joint heritage and cultural-exchange initiatives cited among the anchors of a widening partnership under the newly convened Franco-Saudi Strategic Partnership Council. Framing the relationship around heritage and cultural exchange rather than economics alone strengthens the Kingdom's cultural-diplomacy positioning in Europe and gives its international cultural programming a credible, high-profile partner narrative. (</w:t>
      </w:r>
      <w:hyperlink r:id="rId9">
        <w:r>
          <w:rPr>
            <w:color w:val="0000FF"/>
            <w:u w:val="single"/>
            <w:rFonts w:ascii="Times New Roman" w:hAnsi="Times New Roman"/>
          </w:rPr>
          <w:t xml:space="preserve">Travel And Tour World</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Inner Mongolia have reported a roughly 4,300-year-old burial at the Zhaizita site containing clay dragon and phoenix figurines placed on either side of the deceased, described as the earliest clearly recognisable dragon-and-phoenix pairing yet found in northern China. The find pushes the documented origins of two of China's most enduring cultural symbols back into the Longshan period, a reminder of how contemporary national identity is so often anchored in deep archaeological time. (</w:t>
      </w:r>
      <w:hyperlink r:id="rId10">
        <w:r>
          <w:rPr>
            <w:color w:val="0000FF"/>
            <w:u w:val="single"/>
            <w:rFonts w:ascii="Times New Roman" w:hAnsi="Times New Roman"/>
          </w:rPr>
          <w:t xml:space="preserve">Arkeonews</w:t>
        </w:r>
      </w:hyperlink>
      <w:r>
        <w:rPr>
          <w:b w:val="0"/>
        </w:rPr>
        <w:t>)</w:t>
      </w:r>
    </w:p>
    <w:p>
      <w:pPr>
        <w:pStyle w:val="ListBullet"/>
      </w:pPr>
      <w:r>
        <w:rPr>
          <w:b w:val="0"/>
        </w:rPr>
        <w:t>Analysis of a mass grave of 129 skeletons found beneath a football pitch in Vienna's Simmering district has identified them as young men killed in a first- to second-century military clash, with an unusual clustering of pelvic wounds and Roman armour fragments among the remains. Beyond its forensic interest, the discovery shows how routine urban construction continues to surface frontier-era heritage, underlining the value of embedding archaeological review in development — a consideration directly relevant to heritage-rich sites undergoing rapid construction across the region. (</w:t>
      </w:r>
      <w:hyperlink r:id="rId11">
        <w:r>
          <w:rPr>
            <w:color w:val="0000FF"/>
            <w:u w:val="single"/>
            <w:rFonts w:ascii="Times New Roman" w:hAnsi="Times New Roman"/>
          </w:rPr>
          <w:t xml:space="preserve">Arkeonews</w:t>
        </w:r>
      </w:hyperlink>
      <w:r>
        <w:rPr>
          <w:b w:val="0"/>
        </w:rPr>
        <w:t>)</w:t>
      </w:r>
    </w:p>
    <w:p>
      <w:pPr>
        <w:pStyle w:val="ListBullet"/>
      </w:pPr>
      <w:r>
        <w:rPr>
          <w:b w:val="0"/>
        </w:rPr>
        <w:t>A large early-14th-century mosaic of the Dormition of the Virgin has been documented as one of only three surviving in the main space of Istanbul's Kariye Mosque, the former Chora Church, prized for its scale, composition and state of preservation. Its survival on the wall of a repurposed religious building speaks to the delicate task of stewarding layered sacred heritage across changes of use, an issue with clear resonance for custodians of historic and multi-faith sites everywhere. (</w:t>
      </w:r>
      <w:hyperlink r:id="rId12">
        <w:r>
          <w:rPr>
            <w:color w:val="0000FF"/>
            <w:u w:val="single"/>
            <w:rFonts w:ascii="Times New Roman" w:hAnsi="Times New Roman"/>
          </w:rPr>
          <w:t xml:space="preserve">Arkeonews</w:t>
        </w:r>
      </w:hyperlink>
      <w:r>
        <w:rPr>
          <w:b w:val="0"/>
        </w:rPr>
        <w:t>)</w:t>
      </w:r>
    </w:p>
    <w:p>
      <w:pPr>
        <w:pStyle w:val="ListBullet"/>
      </w:pPr>
      <w:r>
        <w:rPr>
          <w:b w:val="0"/>
        </w:rPr>
        <w:t>Researchers studying 1,700-year-old armour from the Jizhong site in Zhejiang have identified what they describe as the earliest reconstructable evidence of a systematic iron-tinning industry, in which craftsmen hot-dipped finished iron plates in molten tin for corrosion resistance. The work is a striking example of materials science illuminating ancient manufacturing know-how, the kind of technical heritage research that increasingly underpins conservation and museum interpretation worldwide. (</w:t>
      </w:r>
      <w:hyperlink r:id="rId13">
        <w:r>
          <w:rPr>
            <w:color w:val="0000FF"/>
            <w:u w:val="single"/>
            <w:rFonts w:ascii="Times New Roman" w:hAnsi="Times New Roman"/>
          </w:rPr>
          <w:t xml:space="preserve">Arkeonews</w:t>
        </w:r>
      </w:hyperlink>
      <w:r>
        <w:rPr>
          <w:b w:val="0"/>
        </w:rPr>
        <w:t>)</w:t>
      </w:r>
    </w:p>
    <w:p>
      <w:pPr>
        <w:pStyle w:val="NoSpacing"/>
      </w:pPr>
      <w:r>
        <w:rPr>
          <w:b/>
          <w:color w:val="000000"/>
        </w:rPr>
        <w:t>Museums:</w:t>
      </w:r>
    </w:p>
    <w:p>
      <w:pPr>
        <w:pStyle w:val="ListBullet"/>
      </w:pPr>
      <w:r>
        <w:rPr>
          <w:b w:val="0"/>
        </w:rPr>
        <w:t>The Polish studio NArchitekTURA has completed the exhibition design for "Masterpieces from the Lanckoroński Collection: A Story of Antiquity" at Wawel Royal Castle in Kraków, introducing deliberately modern, colour-coded display settings into the castle's historic interiors. The project is a useful reference point for staging antiquities within heritage architecture without pastiche, balancing contemporary interpretation against the character of a protected building. (</w:t>
      </w:r>
      <w:hyperlink r:id="rId14">
        <w:r>
          <w:rPr>
            <w:color w:val="0000FF"/>
            <w:u w:val="single"/>
            <w:rFonts w:ascii="Times New Roman" w:hAnsi="Times New Roman"/>
          </w:rPr>
          <w:t xml:space="preserve">ArchDaily</w:t>
        </w:r>
      </w:hyperlink>
      <w:r>
        <w:rPr>
          <w:b w:val="0"/>
        </w:rPr>
        <w:t>)</w:t>
      </w:r>
    </w:p>
    <w:p>
      <w:pPr>
        <w:pStyle w:val="NoSpacing"/>
      </w:pPr>
      <w:r>
        <w:rPr>
          <w:b/>
          <w:color w:val="000000"/>
        </w:rPr>
        <w:t>Architecture and Design:</w:t>
      </w:r>
    </w:p>
    <w:p>
      <w:pPr>
        <w:pStyle w:val="ListBullet"/>
      </w:pPr>
      <w:r>
        <w:rPr>
          <w:b w:val="0"/>
        </w:rPr>
        <w:t>Brazilian design studio Estúdio Campana has created a woven, basket-inspired pop-up for Tiffany &amp; Co at the JK Iguatemi mall in São Paulo, translating a local craft vocabulary into a luxury-retail setting. The project reflects a wider luxury-sector move to root brand spaces in indigenous craft traditions, a strategy with direct parallels for the Kingdom's own efforts to fuse heritage craft with contemporary retail and design. (</w:t>
      </w:r>
      <w:hyperlink r:id="rId15">
        <w:r>
          <w:rPr>
            <w:color w:val="0000FF"/>
            <w:u w:val="single"/>
            <w:rFonts w:ascii="Times New Roman" w:hAnsi="Times New Roman"/>
          </w:rPr>
          <w:t xml:space="preserve">Dezeen</w:t>
        </w:r>
      </w:hyperlink>
      <w:r>
        <w:rPr>
          <w:b w:val="0"/>
        </w:rPr>
        <w:t>)</w:t>
      </w:r>
    </w:p>
    <w:p>
      <w:pPr>
        <w:pStyle w:val="ListBullet"/>
      </w:pPr>
      <w:r>
        <w:rPr>
          <w:b w:val="0"/>
        </w:rPr>
        <w:t>Mexican firm Sordo Madaleno Arquitectos has designed an open-air art gallery in Baja California where, in the studio's own words, light and sea breeze shape how visitors encounter the works on display. The scheme feeds a growing international appetite for landscape-integrated cultural venues, an approach echoed in Saudi Arabia's desert art commissions and open-air cultural sites. (</w:t>
      </w:r>
      <w:hyperlink r:id="rId16">
        <w:r>
          <w:rPr>
            <w:color w:val="0000FF"/>
            <w:u w:val="single"/>
            <w:rFonts w:ascii="Times New Roman" w:hAnsi="Times New Roman"/>
          </w:rPr>
          <w:t xml:space="preserve">Dezeen</w:t>
        </w:r>
      </w:hyperlink>
      <w:r>
        <w:rPr>
          <w:b w:val="0"/>
        </w:rPr>
        <w:t>)</w:t>
      </w:r>
    </w:p>
    <w:p>
      <w:pPr>
        <w:pStyle w:val="ListBullet"/>
      </w:pPr>
      <w:r>
        <w:rPr>
          <w:b w:val="0"/>
        </w:rPr>
        <w:t>Design firm KTGY has revamped the interiors of the Fairmont hotel in Chicago, part of a continuing wave of investment in hospitality design as a driver of destination appeal. The growing overlap between hospitality and cultural placemaking is increasingly central to how cities and regions, including the Kingdom's new cultural districts, compete for high-value cultural tourism. (</w:t>
      </w:r>
      <w:hyperlink r:id="rId17">
        <w:r>
          <w:rPr>
            <w:color w:val="0000FF"/>
            <w:u w:val="single"/>
            <w:rFonts w:ascii="Times New Roman" w:hAnsi="Times New Roman"/>
          </w:rPr>
          <w:t xml:space="preserve">Dezeen</w:t>
        </w:r>
      </w:hyperlink>
      <w:r>
        <w:rPr>
          <w:b w:val="0"/>
        </w:rPr>
        <w:t>)</w:t>
      </w:r>
    </w:p>
    <w:p>
      <w:pPr>
        <w:pStyle w:val="ListBullet"/>
      </w:pPr>
      <w:r>
        <w:rPr>
          <w:b w:val="0"/>
        </w:rPr>
        <w:t>An ArchDaily feature argues that "blue infrastructure" should be treated not as isolated water features but as the organising hydrological system that underpins urban ecology and resilience. As large cultural and heritage destinations are developed in arid, water-sensitive settings, the argument is a timely reminder that sustainable water design is inseparable from long-term cultural-site stewardship. (</w:t>
      </w:r>
      <w:hyperlink r:id="rId18">
        <w:r>
          <w:rPr>
            <w:color w:val="0000FF"/>
            <w:u w:val="single"/>
            <w:rFonts w:ascii="Times New Roman" w:hAnsi="Times New Roman"/>
          </w:rPr>
          <w:t xml:space="preserve">ArchDaily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maritime security and energy-route exposure</w:t>
      </w:r>
    </w:p>
    <w:p>
      <w:pPr>
        <w:pStyle w:val="NoSpacing"/>
      </w:pPr>
      <w:r>
        <w:t>Discussions during the Crown Prince's visit to France on diversifying energy and logistics corridors, including maritime alternatives to the Strait of Hormuz, underline the regional-security and supply-route pressures forming the backdrop to the Kingdom's international engagements this cycle. While not a cultural story in itself, this backdrop shapes the international perceptions that can spill over onto cultural and tourism messaging.</w:t>
      </w:r>
    </w:p>
    <w:p>
      <w:pPr>
        <w:pStyle w:val="NoSpacing"/>
      </w:pPr>
      <w:r>
        <w:rPr>
          <w:b/>
        </w:rPr>
        <w:t xml:space="preserve">Source: </w:t>
      </w:r>
      <w:hyperlink r:id="rId19">
        <w:r>
          <w:rPr>
            <w:color w:val="0000FF"/>
            <w:u w:val="single"/>
            <w:rFonts w:ascii="Times New Roman" w:hAnsi="Times New Roman"/>
          </w:rPr>
          <w:t xml:space="preserve">The National</w:t>
        </w:r>
      </w:hyperlink>
    </w:p>
    <w:p>
      <w:pPr>
        <w:pStyle w:val="NoSpacing"/>
      </w:pPr>
      <w:r>
        <w:rPr>
          <w:b/>
        </w:rPr>
        <w:t xml:space="preserve">Consideration: </w:t>
      </w:r>
      <w:r>
        <w:t>Keep the Ministry's cultural narrative — heritage stewardship, AlUla and Diriyah cultural cooperation, public access and Saudi talent — clearly distinct from the regional-security story, so that cultural-diplomacy gains are not read through a geopolitical lens.</w:t>
      </w:r>
    </w:p>
    <w:p>
      <w:pPr>
        <w:pStyle w:val="NoSpacing"/>
      </w:pPr>
    </w:p>
    <w:p>
      <w:pPr>
        <w:pStyle w:val="NoSpacing"/>
      </w:pPr>
      <w:r>
        <w:rPr>
          <w:b/>
          <w:color w:val="A66500"/>
        </w:rPr>
        <w:t>Opportunities</w:t>
      </w:r>
    </w:p>
    <w:p>
      <w:pPr>
        <w:pStyle w:val="NoSpacing"/>
      </w:pPr>
      <w:r>
        <w:rPr>
          <w:b/>
          <w:color w:val="000000"/>
        </w:rPr>
        <w:t>1. Saudi-France cultural diplomacy as a national narrative</w:t>
      </w:r>
    </w:p>
    <w:p>
      <w:pPr>
        <w:pStyle w:val="NoSpacing"/>
      </w:pPr>
      <w:r>
        <w:t>The Paris visit reaffirmed culture — AlUla, Diriyah, heritage, archaeology and cultural exchange — as a load-bearing pillar of the Saudi-France relationship rather than an add-on to economic agreements, extending a cultural-cooperation track that both governments have built up over recent years.</w:t>
      </w:r>
    </w:p>
    <w:p>
      <w:pPr>
        <w:pStyle w:val="NoSpacing"/>
      </w:pPr>
      <w:r>
        <w:rPr>
          <w:b/>
        </w:rPr>
        <w:t xml:space="preserve">Source: </w:t>
      </w:r>
      <w:hyperlink r:id="rId9">
        <w:r>
          <w:rPr>
            <w:color w:val="0000FF"/>
            <w:u w:val="single"/>
            <w:rFonts w:ascii="Times New Roman" w:hAnsi="Times New Roman"/>
          </w:rPr>
          <w:t xml:space="preserve">Travel And Tour World</w:t>
        </w:r>
      </w:hyperlink>
    </w:p>
    <w:p>
      <w:pPr>
        <w:pStyle w:val="NoSpacing"/>
      </w:pPr>
      <w:r>
        <w:rPr>
          <w:b/>
        </w:rPr>
        <w:t xml:space="preserve">Consideration: </w:t>
      </w:r>
      <w:r>
        <w:t>Connect the individual France-linked cultural initiatives into a single, repeatable story about Saudi cultural diplomacy in Europe, foregrounding heritage and Saudi talent development rather than treating each announcement in isolation.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avelandtourworld.com/news/article/dllp5veduy0a/" TargetMode="External"/><Relationship Id="rId10" Type="http://schemas.openxmlformats.org/officeDocument/2006/relationships/hyperlink" Target="https://arkeonews.net/4300-year-old-tomb-in-inner-mongolia-reveals-earliest-known-dragon-phoenix-pairing-in-northern-china/" TargetMode="External"/><Relationship Id="rId11" Type="http://schemas.openxmlformats.org/officeDocument/2006/relationships/hyperlink" Target="https://arkeonews.net/roman-mass-grave-beneath-vienna-soccer-field-reveals-unusual-concentration-of-pelvic-wounds/" TargetMode="External"/><Relationship Id="rId12" Type="http://schemas.openxmlformats.org/officeDocument/2006/relationships/hyperlink" Target="https://arkeonews.net/one-of-byzantiums-most-striking-images-of-marys-last-sleep-survives-on-a-mosque-wall-in-istanbul/" TargetMode="External"/><Relationship Id="rId13" Type="http://schemas.openxmlformats.org/officeDocument/2006/relationships/hyperlink" Target="https://arkeonews.net/1700-year-old-chinese-armor-still-shines-thanks-to-an-ancient-metalworking-secret/" TargetMode="External"/><Relationship Id="rId14" Type="http://schemas.openxmlformats.org/officeDocument/2006/relationships/hyperlink" Target="https://www.archdaily.com/1183570/antiquity-exhibition-at-wawel-castle-narchitektura" TargetMode="External"/><Relationship Id="rId15" Type="http://schemas.openxmlformats.org/officeDocument/2006/relationships/hyperlink" Target="https://www.dezeen.com/2026/08/22/tiffany-co-pop-up-jk-iguatemi-mall-sao-paulo-estudio-campana/" TargetMode="External"/><Relationship Id="rId16" Type="http://schemas.openxmlformats.org/officeDocument/2006/relationships/hyperlink" Target="https://www.dezeen.com/2026/08/22/arte-abierto-baja-sordo-madaleno-arquitectos/" TargetMode="External"/><Relationship Id="rId17" Type="http://schemas.openxmlformats.org/officeDocument/2006/relationships/hyperlink" Target="https://www.dezeen.com/2026/08/23/ktgy-revamps-interiors-fairmont-hotel-chicago/" TargetMode="External"/><Relationship Id="rId18" Type="http://schemas.openxmlformats.org/officeDocument/2006/relationships/hyperlink" Target="https://www.archdaily.com/1182257/what-is-blue-infrastructure-rethinking-waters-role-in-city-design" TargetMode="External"/><Relationship Id="rId19" Type="http://schemas.openxmlformats.org/officeDocument/2006/relationships/hyperlink" Target="https://www.thenationalnews.com/news/mena/2026/08/22/saudi-crown-prince-visits-france-to-sign-deals-and-discuss-strait-of-horm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