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80"/>
        <w:jc w:val="center"/>
      </w:pPr>
      <w:r>
        <w:t>实训日志  第6天</w:t>
      </w:r>
    </w:p>
    <w:p>
      <w:pPr>
        <w:spacing w:line="240" w:lineRule="auto" w:after="160"/>
        <w:ind w:firstLine="0"/>
      </w:pPr>
      <w:r>
        <w:rPr>
          <w:sz w:val="20"/>
        </w:rPr>
        <w:t>实训项目：中州养老管理系统    日期：____年____月____日</w:t>
      </w:r>
    </w:p>
    <w:p>
      <w:pPr>
        <w:pStyle w:val="Heading1"/>
      </w:pPr>
      <w:r>
        <w:t>Redis 基础与性能优化思路</w:t>
      </w:r>
    </w:p>
    <w:p>
      <w:pPr>
        <w:pStyle w:val="Heading2"/>
      </w:pPr>
      <w:r>
        <w:t>一  今日学习内容</w:t>
      </w:r>
    </w:p>
    <w:p>
      <w:r>
        <w:t>今天的实训主题是 Redis 与性能优化。我首先了解缓存适合解决的问题：对于访问频繁、允许采用相应更新策略的数据，可以减少对数据库的重复查询。Redis 以键值结构组织数据，能够作为关系型数据库的补充。结合课程中的环境准备内容，我学习了服务启动、连接与常用管理方式，并注意区分客户端工具和 Redis 服务本身的作用。</w:t>
      </w:r>
    </w:p>
    <w:p>
      <w:r>
        <w:t>在基础操作方面，我整理了字符串、哈希、列表、集合和有序集合的特点，以及对应的读写和通用命令。课程进一步介绍了 RDB 与 AOF 持久化、主从复制的全量同步和增量同步、哨兵模式以及分片集群。通过这些内容，我逐渐区分了数据保存、副本同步、故障切换和容量扩展几个不同目标，也理解了不能把“使用 Redis”简单等同于“系统性能问题已经解决”。</w:t>
      </w:r>
    </w:p>
    <w:p>
      <w:pPr>
        <w:pStyle w:val="Heading2"/>
      </w:pPr>
      <w:r>
        <w:t>二  重点难点与思考</w:t>
      </w:r>
    </w:p>
    <w:p>
      <w:r>
        <w:t>今天的难点是判断不同机制究竟解决哪一类问题。我把 RDB 和 AOF 放在持久化角度比较，把主从复制和哨兵放在可用性角度理解，再从哈希槽认识分片集群的数据分配。联系养老项目，我还思考了缓存键的命名、数据过期和业务修改后的缓存处理。缓存能减少查询开销，但如果更新策略不清晰，页面仍可能读到旧数据。</w:t>
      </w:r>
    </w:p>
    <w:p>
      <w:pPr>
        <w:pStyle w:val="Heading2"/>
      </w:pPr>
      <w:r>
        <w:t>三  学习心得与后续安排</w:t>
      </w:r>
    </w:p>
    <w:p>
      <w:r>
        <w:t>通过今天的学习，我意识到性能优化需要结合访问特点和数据变化规律进行设计。对于项目中的护理配置等候选数据，应先分析读取频率和一致性要求，再决定是否引入缓存。今后的学习中，我会继续巩固 Redis 命令和相关机制，并通过明确的业务场景理解配置，而不是单纯记忆概念或套用固定方案。</w:t>
      </w:r>
    </w:p>
    <w:sectPr w:rsidR="00FC693F" w:rsidRPr="0006063C" w:rsidSect="00034616">
      <w:pgSz w:w="11906" w:h="16838"/>
      <w:pgMar w:top="1191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20"/>
      <w:ind w:firstLine="480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ind w:firstLine="0"/>
      <w:outlineLvl w:val="0"/>
    </w:pPr>
    <w:rPr>
      <w:rFonts w:asciiTheme="majorHAnsi" w:eastAsiaTheme="majorEastAsia" w:hAnsiTheme="majorHAnsi" w:cstheme="majorBidi" w:ascii="宋体" w:hAnsi="宋体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ind w:firstLine="0"/>
      <w:outlineLvl w:val="1"/>
    </w:pPr>
    <w:rPr>
      <w:rFonts w:asciiTheme="majorHAnsi" w:eastAsiaTheme="majorEastAsia" w:hAnsiTheme="majorHAnsi" w:cstheme="majorBidi" w:ascii="宋体" w:hAnsi="宋体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160"/>
      <w:ind w:firstLine="0"/>
      <w:contextualSpacing/>
    </w:pPr>
    <w:rPr>
      <w:rFonts w:asciiTheme="majorHAnsi" w:eastAsiaTheme="majorEastAsia" w:hAnsiTheme="majorHAnsi" w:cstheme="majorBidi" w:ascii="宋体" w:hAnsi="宋体" w:eastAsia="黑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实训日志 第6天 Redis 基础与性能优化思路</dc:title>
  <dc:subject>若依框架与智慧养老项目实训</dc:subject>
  <dc:creator/>
  <cp:keywords>实训日志 中州养老 若依 MyBatis Plus Redis AI Dify IoT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