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6A7" w:rsidRDefault="00BC466A" w:rsidP="00E50580">
      <w:pPr>
        <w:spacing w:after="0"/>
        <w:jc w:val="center"/>
        <w:rPr>
          <w:b/>
          <w:color w:val="0070C0"/>
          <w:sz w:val="32"/>
          <w:szCs w:val="36"/>
        </w:rPr>
      </w:pPr>
      <w:bookmarkStart w:id="0" w:name="_GoBack"/>
      <w:bookmarkEnd w:id="0"/>
      <w:r w:rsidRPr="00BC466A">
        <w:rPr>
          <w:b/>
          <w:color w:val="0070C0"/>
          <w:sz w:val="32"/>
          <w:szCs w:val="36"/>
        </w:rPr>
        <w:t>CDS Intervention Format Workshop</w:t>
      </w:r>
    </w:p>
    <w:p w:rsidR="006A06B0" w:rsidRPr="009A679B" w:rsidRDefault="007F16A7" w:rsidP="00E50580">
      <w:pPr>
        <w:spacing w:after="0"/>
        <w:jc w:val="center"/>
        <w:rPr>
          <w:color w:val="1F497D"/>
          <w:sz w:val="20"/>
        </w:rPr>
      </w:pPr>
      <w:r>
        <w:rPr>
          <w:b/>
          <w:color w:val="0070C0"/>
          <w:sz w:val="32"/>
          <w:szCs w:val="36"/>
        </w:rPr>
        <w:t>S &amp; I Face-to-Face</w:t>
      </w:r>
      <w:r w:rsidR="00BC466A" w:rsidRPr="00BC466A">
        <w:rPr>
          <w:sz w:val="20"/>
        </w:rPr>
        <w:br/>
        <w:t>Office of the National Coordinator for Health IT</w:t>
      </w:r>
      <w:r w:rsidR="00BC466A" w:rsidRPr="00BC466A">
        <w:rPr>
          <w:sz w:val="20"/>
        </w:rPr>
        <w:br/>
        <w:t>Westin Alexandria, Alexandria VA</w:t>
      </w:r>
      <w:r w:rsidR="00BC466A" w:rsidRPr="00BC466A">
        <w:rPr>
          <w:color w:val="1F497D"/>
          <w:sz w:val="20"/>
        </w:rPr>
        <w:br/>
      </w:r>
      <w:r w:rsidR="00BC466A" w:rsidRPr="00BC466A">
        <w:rPr>
          <w:sz w:val="20"/>
        </w:rPr>
        <w:t>April 11, 2012</w:t>
      </w:r>
    </w:p>
    <w:p w:rsidR="006A06B0" w:rsidRPr="009A679B" w:rsidRDefault="006A06B0" w:rsidP="006A06B0">
      <w:pPr>
        <w:spacing w:after="0"/>
        <w:rPr>
          <w:b/>
          <w:sz w:val="20"/>
        </w:rPr>
      </w:pPr>
    </w:p>
    <w:p w:rsidR="006A06B0" w:rsidRPr="009A679B" w:rsidRDefault="00BC466A" w:rsidP="006A06B0">
      <w:pPr>
        <w:spacing w:after="0"/>
        <w:rPr>
          <w:b/>
          <w:sz w:val="18"/>
          <w:szCs w:val="20"/>
        </w:rPr>
        <w:sectPr w:rsidR="006A06B0" w:rsidRPr="009A679B" w:rsidSect="00E50580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 w:rsidRPr="00BC466A">
        <w:rPr>
          <w:b/>
          <w:sz w:val="18"/>
          <w:szCs w:val="20"/>
        </w:rPr>
        <w:t>Participants in attendance</w:t>
      </w:r>
      <w:r w:rsidRPr="00BC466A">
        <w:rPr>
          <w:b/>
          <w:sz w:val="18"/>
          <w:szCs w:val="20"/>
        </w:rPr>
        <w:tab/>
      </w:r>
      <w:r w:rsidRPr="00BC466A">
        <w:rPr>
          <w:b/>
          <w:sz w:val="18"/>
          <w:szCs w:val="20"/>
        </w:rPr>
        <w:tab/>
      </w:r>
      <w:r w:rsidRPr="00BC466A">
        <w:rPr>
          <w:b/>
          <w:sz w:val="18"/>
          <w:szCs w:val="20"/>
        </w:rPr>
        <w:tab/>
      </w:r>
      <w:r w:rsidRPr="00BC466A">
        <w:rPr>
          <w:b/>
          <w:sz w:val="18"/>
          <w:szCs w:val="20"/>
        </w:rPr>
        <w:tab/>
      </w:r>
      <w:r w:rsidRPr="00BC466A">
        <w:rPr>
          <w:b/>
          <w:sz w:val="18"/>
          <w:szCs w:val="20"/>
        </w:rPr>
        <w:tab/>
      </w:r>
      <w:r w:rsidRPr="00BC466A">
        <w:rPr>
          <w:b/>
          <w:sz w:val="18"/>
          <w:szCs w:val="20"/>
        </w:rPr>
        <w:tab/>
        <w:t xml:space="preserve">Federal attendees / Staff 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lastRenderedPageBreak/>
        <w:t>Aziz Boxwala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Blackford Middleton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Bob Greenes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 xml:space="preserve">Bryn Rhodes 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David Lobach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 xml:space="preserve">Jerry </w:t>
      </w:r>
      <w:proofErr w:type="spellStart"/>
      <w:r w:rsidRPr="00BC466A">
        <w:rPr>
          <w:sz w:val="18"/>
          <w:szCs w:val="20"/>
        </w:rPr>
        <w:t>Osheroff</w:t>
      </w:r>
      <w:proofErr w:type="spellEnd"/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 xml:space="preserve">Joe </w:t>
      </w:r>
      <w:proofErr w:type="spellStart"/>
      <w:r w:rsidRPr="00BC466A">
        <w:rPr>
          <w:sz w:val="18"/>
          <w:szCs w:val="20"/>
        </w:rPr>
        <w:t>Bromel</w:t>
      </w:r>
      <w:proofErr w:type="spellEnd"/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Julie Scherer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proofErr w:type="spellStart"/>
      <w:r w:rsidRPr="00BC466A">
        <w:rPr>
          <w:sz w:val="18"/>
          <w:szCs w:val="20"/>
        </w:rPr>
        <w:t>Jyoti</w:t>
      </w:r>
      <w:proofErr w:type="spellEnd"/>
      <w:r w:rsidRPr="00BC466A">
        <w:rPr>
          <w:sz w:val="18"/>
          <w:szCs w:val="20"/>
        </w:rPr>
        <w:t xml:space="preserve"> </w:t>
      </w:r>
      <w:proofErr w:type="spellStart"/>
      <w:r w:rsidRPr="00BC466A">
        <w:rPr>
          <w:sz w:val="18"/>
          <w:szCs w:val="20"/>
        </w:rPr>
        <w:t>Pathak</w:t>
      </w:r>
      <w:proofErr w:type="spellEnd"/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Keith Boone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lastRenderedPageBreak/>
        <w:t>Keith Wood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Ken Kawamoto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 xml:space="preserve">Ken </w:t>
      </w:r>
      <w:proofErr w:type="spellStart"/>
      <w:r w:rsidRPr="00BC466A">
        <w:rPr>
          <w:sz w:val="18"/>
          <w:szCs w:val="20"/>
        </w:rPr>
        <w:t>Ong</w:t>
      </w:r>
      <w:proofErr w:type="spellEnd"/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Patrick Yoder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Peter Haug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Rick Shiffman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 xml:space="preserve">Roberto </w:t>
      </w:r>
      <w:proofErr w:type="spellStart"/>
      <w:r w:rsidRPr="00BC466A">
        <w:rPr>
          <w:sz w:val="18"/>
          <w:szCs w:val="20"/>
        </w:rPr>
        <w:t>Beraja</w:t>
      </w:r>
      <w:proofErr w:type="spellEnd"/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 xml:space="preserve">Steve Claypool 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Tonya Hongsermeier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Vivian Coates</w:t>
      </w:r>
    </w:p>
    <w:p w:rsidR="006A06B0" w:rsidRPr="009A679B" w:rsidRDefault="006A06B0" w:rsidP="006A06B0">
      <w:pPr>
        <w:spacing w:after="0"/>
        <w:rPr>
          <w:sz w:val="18"/>
          <w:szCs w:val="20"/>
        </w:rPr>
      </w:pP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Jacob Reider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Alicia Morton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Jon White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 xml:space="preserve">Jonathan Teich 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Kevin Larsen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Anca Tabakova</w:t>
      </w:r>
    </w:p>
    <w:p w:rsidR="006A06B0" w:rsidRPr="009A679B" w:rsidRDefault="00BC466A" w:rsidP="006A06B0">
      <w:pPr>
        <w:spacing w:after="0"/>
        <w:rPr>
          <w:sz w:val="18"/>
          <w:szCs w:val="20"/>
        </w:rPr>
      </w:pPr>
      <w:r w:rsidRPr="00BC466A">
        <w:rPr>
          <w:sz w:val="18"/>
          <w:szCs w:val="20"/>
        </w:rPr>
        <w:t>Dana Womack</w:t>
      </w:r>
    </w:p>
    <w:p w:rsidR="006A06B0" w:rsidRPr="009A679B" w:rsidRDefault="006A06B0" w:rsidP="006A06B0">
      <w:pPr>
        <w:spacing w:after="0"/>
        <w:rPr>
          <w:sz w:val="20"/>
        </w:rPr>
        <w:sectPr w:rsidR="006A06B0" w:rsidRPr="009A679B" w:rsidSect="006A06B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A06B0" w:rsidRPr="009A679B" w:rsidRDefault="006A06B0" w:rsidP="006A06B0">
      <w:pPr>
        <w:spacing w:after="0"/>
        <w:rPr>
          <w:sz w:val="20"/>
        </w:rPr>
      </w:pPr>
    </w:p>
    <w:p w:rsidR="006A06B0" w:rsidRPr="009A679B" w:rsidRDefault="00BC466A" w:rsidP="006A06B0">
      <w:pPr>
        <w:spacing w:after="0"/>
        <w:rPr>
          <w:sz w:val="20"/>
        </w:rPr>
      </w:pPr>
      <w:r w:rsidRPr="00BC466A">
        <w:rPr>
          <w:b/>
          <w:color w:val="0070C0"/>
          <w:sz w:val="20"/>
        </w:rPr>
        <w:t>Broad Goal:</w:t>
      </w:r>
      <w:r w:rsidRPr="00BC466A">
        <w:rPr>
          <w:color w:val="0070C0"/>
          <w:sz w:val="20"/>
        </w:rPr>
        <w:t xml:space="preserve">  </w:t>
      </w:r>
      <w:r w:rsidRPr="00BC466A">
        <w:rPr>
          <w:sz w:val="20"/>
        </w:rPr>
        <w:t>Identify a working model for the broad slots/components of a CDS intervention</w:t>
      </w:r>
      <w:r w:rsidR="007F16A7">
        <w:rPr>
          <w:sz w:val="20"/>
        </w:rPr>
        <w:t xml:space="preserve"> format</w:t>
      </w:r>
      <w:r w:rsidRPr="00BC466A">
        <w:rPr>
          <w:sz w:val="20"/>
        </w:rPr>
        <w:t>.</w:t>
      </w:r>
    </w:p>
    <w:p w:rsidR="00D93454" w:rsidRPr="009A679B" w:rsidRDefault="00BC466A" w:rsidP="00890317">
      <w:pPr>
        <w:rPr>
          <w:sz w:val="20"/>
        </w:rPr>
      </w:pPr>
      <w:r w:rsidRPr="00BC466A">
        <w:rPr>
          <w:b/>
          <w:color w:val="0070C0"/>
          <w:sz w:val="20"/>
        </w:rPr>
        <w:t>Key stakeholders:</w:t>
      </w:r>
      <w:r w:rsidRPr="00BC466A">
        <w:rPr>
          <w:sz w:val="20"/>
        </w:rPr>
        <w:t xml:space="preserve"> CDS suppliers &lt;-&gt; EHR suppliers &lt;-&gt; providers &lt;-&gt; patients</w:t>
      </w:r>
    </w:p>
    <w:p w:rsidR="00D93454" w:rsidRPr="009A679B" w:rsidRDefault="00E50580" w:rsidP="00890317">
      <w:pPr>
        <w:rPr>
          <w:sz w:val="20"/>
        </w:rPr>
      </w:pPr>
      <w:r>
        <w:rPr>
          <w:sz w:val="20"/>
        </w:rPr>
        <w:t xml:space="preserve">The image below is a (very) rough depiction of the scope of this initiative.  Inside the “box” </w:t>
      </w:r>
      <w:proofErr w:type="gramStart"/>
      <w:r>
        <w:rPr>
          <w:sz w:val="20"/>
        </w:rPr>
        <w:t>are</w:t>
      </w:r>
      <w:proofErr w:type="gramEnd"/>
      <w:r>
        <w:rPr>
          <w:sz w:val="20"/>
        </w:rPr>
        <w:t xml:space="preserve"> items that the group felt might be in scope – and items outside of the box – while important – are not likely to be in scope for the work of this initiative.</w:t>
      </w:r>
    </w:p>
    <w:p w:rsidR="00D93454" w:rsidRPr="009A679B" w:rsidRDefault="008B722C" w:rsidP="00890317">
      <w:pPr>
        <w:rPr>
          <w:sz w:val="20"/>
        </w:rPr>
      </w:pPr>
      <w:r w:rsidRPr="00C0036D">
        <w:rPr>
          <w:sz w:val="20"/>
        </w:rPr>
        <w:object w:dxaOrig="8641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pt" o:ole="">
            <v:imagedata r:id="rId13" o:title=""/>
          </v:shape>
          <o:OLEObject Type="Embed" ProgID="AcroExch.Document.7" ShapeID="_x0000_i1025" DrawAspect="Content" ObjectID="_1399788412" r:id="rId14"/>
        </w:object>
      </w:r>
    </w:p>
    <w:p w:rsidR="00DE6942" w:rsidRPr="009A679B" w:rsidRDefault="00BC466A" w:rsidP="007F16A7">
      <w:pPr>
        <w:rPr>
          <w:b/>
          <w:color w:val="0070C0"/>
          <w:sz w:val="20"/>
        </w:rPr>
      </w:pPr>
      <w:r w:rsidRPr="00BC466A">
        <w:rPr>
          <w:b/>
          <w:color w:val="0070C0"/>
          <w:sz w:val="20"/>
        </w:rPr>
        <w:br w:type="page"/>
      </w:r>
      <w:r w:rsidRPr="00BC466A">
        <w:rPr>
          <w:b/>
          <w:color w:val="0070C0"/>
          <w:sz w:val="20"/>
        </w:rPr>
        <w:lastRenderedPageBreak/>
        <w:t>Taking CDS to national scale: Key Facilitators</w:t>
      </w:r>
    </w:p>
    <w:p w:rsidR="00E107C2" w:rsidRPr="009A679B" w:rsidRDefault="00BC466A" w:rsidP="000F0192">
      <w:pPr>
        <w:pStyle w:val="ListParagraph"/>
        <w:numPr>
          <w:ilvl w:val="0"/>
          <w:numId w:val="8"/>
        </w:numPr>
        <w:spacing w:after="0"/>
        <w:rPr>
          <w:sz w:val="20"/>
        </w:rPr>
      </w:pPr>
      <w:r w:rsidRPr="00BC466A">
        <w:rPr>
          <w:b/>
          <w:sz w:val="20"/>
        </w:rPr>
        <w:t>Common Data representation.</w:t>
      </w:r>
      <w:r w:rsidRPr="00BC466A">
        <w:rPr>
          <w:sz w:val="20"/>
        </w:rPr>
        <w:t xml:space="preserve"> If facilities take responsibility for binding their data to a common representation (such as the </w:t>
      </w:r>
      <w:proofErr w:type="spellStart"/>
      <w:r w:rsidRPr="00BC466A">
        <w:rPr>
          <w:sz w:val="20"/>
        </w:rPr>
        <w:t>vMR</w:t>
      </w:r>
      <w:proofErr w:type="spellEnd"/>
      <w:r w:rsidRPr="00BC466A">
        <w:rPr>
          <w:sz w:val="20"/>
        </w:rPr>
        <w:t>), then others can build knowledge representations to that common representation and deliver CDS as a service.</w:t>
      </w:r>
    </w:p>
    <w:p w:rsidR="00FA5333" w:rsidRPr="009A679B" w:rsidRDefault="00BC466A" w:rsidP="00FA5333">
      <w:pPr>
        <w:pStyle w:val="ListParagraph"/>
        <w:numPr>
          <w:ilvl w:val="1"/>
          <w:numId w:val="15"/>
        </w:numPr>
        <w:spacing w:after="0"/>
        <w:rPr>
          <w:sz w:val="20"/>
        </w:rPr>
      </w:pPr>
      <w:r w:rsidRPr="00BC466A">
        <w:rPr>
          <w:sz w:val="20"/>
        </w:rPr>
        <w:t>Standardize what goes in, what comes back out, and identify associated meta data so people can apply CDS locally</w:t>
      </w:r>
    </w:p>
    <w:p w:rsidR="00E92325" w:rsidRPr="009A679B" w:rsidRDefault="00BC466A" w:rsidP="00FA5333">
      <w:pPr>
        <w:pStyle w:val="ListParagraph"/>
        <w:numPr>
          <w:ilvl w:val="1"/>
          <w:numId w:val="15"/>
        </w:numPr>
        <w:spacing w:after="0"/>
        <w:rPr>
          <w:sz w:val="20"/>
        </w:rPr>
      </w:pPr>
      <w:proofErr w:type="spellStart"/>
      <w:r w:rsidRPr="00BC466A">
        <w:rPr>
          <w:rFonts w:eastAsia="Times New Roman"/>
          <w:sz w:val="20"/>
        </w:rPr>
        <w:t>vMR</w:t>
      </w:r>
      <w:proofErr w:type="spellEnd"/>
      <w:r w:rsidRPr="00BC466A">
        <w:rPr>
          <w:rFonts w:eastAsia="Times New Roman"/>
          <w:sz w:val="20"/>
        </w:rPr>
        <w:t xml:space="preserve"> simplifies data type definitions, is simpler than CCD for data expression, allows for creation of clinical statements for rule authoring, and </w:t>
      </w:r>
      <w:proofErr w:type="spellStart"/>
      <w:r w:rsidRPr="00BC466A">
        <w:rPr>
          <w:rFonts w:eastAsia="Times New Roman"/>
          <w:sz w:val="20"/>
        </w:rPr>
        <w:t>templatized</w:t>
      </w:r>
      <w:proofErr w:type="spellEnd"/>
      <w:r w:rsidRPr="00BC466A">
        <w:rPr>
          <w:rFonts w:eastAsia="Times New Roman"/>
          <w:sz w:val="20"/>
        </w:rPr>
        <w:t xml:space="preserve"> artifact authoring, which is helpful for tool development.</w:t>
      </w:r>
    </w:p>
    <w:p w:rsidR="00FA5333" w:rsidRPr="009A679B" w:rsidRDefault="00BC466A" w:rsidP="00FA5333">
      <w:pPr>
        <w:pStyle w:val="ListParagraph"/>
        <w:numPr>
          <w:ilvl w:val="1"/>
          <w:numId w:val="15"/>
        </w:numPr>
        <w:spacing w:after="0"/>
        <w:rPr>
          <w:sz w:val="20"/>
        </w:rPr>
      </w:pPr>
      <w:r w:rsidRPr="00BC466A">
        <w:rPr>
          <w:sz w:val="20"/>
        </w:rPr>
        <w:t>Local systems could be responsible for applying site-specific filters, or you can build a tool to allow hospitals to configure whether or not they have a CT scanner, or what’s in their formulary, etc.</w:t>
      </w:r>
    </w:p>
    <w:p w:rsidR="00773A7E" w:rsidRPr="009A679B" w:rsidRDefault="00BC466A" w:rsidP="00773A7E">
      <w:pPr>
        <w:pStyle w:val="ListParagraph"/>
        <w:numPr>
          <w:ilvl w:val="0"/>
          <w:numId w:val="15"/>
        </w:numPr>
        <w:spacing w:after="0"/>
        <w:rPr>
          <w:sz w:val="20"/>
        </w:rPr>
      </w:pPr>
      <w:r w:rsidRPr="00BC466A">
        <w:rPr>
          <w:b/>
          <w:sz w:val="20"/>
        </w:rPr>
        <w:t>Common Knowledge representation.</w:t>
      </w:r>
      <w:r w:rsidRPr="00BC466A">
        <w:rPr>
          <w:sz w:val="20"/>
        </w:rPr>
        <w:t xml:space="preserve"> We need to establish a lingua franca for knowledge distribution, creating a one-to-many problem, rather than a many-to-many knowledge representation problem.</w:t>
      </w:r>
    </w:p>
    <w:p w:rsidR="00E92325" w:rsidRPr="009A679B" w:rsidRDefault="00BC466A" w:rsidP="00BC0B0A">
      <w:pPr>
        <w:pStyle w:val="ListParagraph"/>
        <w:numPr>
          <w:ilvl w:val="1"/>
          <w:numId w:val="15"/>
        </w:numPr>
        <w:spacing w:after="0"/>
        <w:rPr>
          <w:sz w:val="20"/>
        </w:rPr>
      </w:pPr>
      <w:r w:rsidRPr="00BC466A">
        <w:rPr>
          <w:rFonts w:eastAsia="Times New Roman"/>
          <w:sz w:val="20"/>
        </w:rPr>
        <w:t xml:space="preserve">L3 – Layer 3 of the four layers identified by CDSC/ACDS (1 - Unstructured, 2 - Semi-structured, 3 - Structured, and 4 – Executable) has been fleshed out across the 5 cardinal types of CDS interventions: alerts, info buttons, documentation templates/ smart forms, data display, order sets. </w:t>
      </w:r>
    </w:p>
    <w:p w:rsidR="00E92325" w:rsidRPr="009A679B" w:rsidRDefault="00BC466A" w:rsidP="00E92325">
      <w:pPr>
        <w:pStyle w:val="ListParagraph"/>
        <w:numPr>
          <w:ilvl w:val="1"/>
          <w:numId w:val="15"/>
        </w:numPr>
        <w:spacing w:after="0"/>
        <w:rPr>
          <w:sz w:val="20"/>
        </w:rPr>
      </w:pPr>
      <w:r w:rsidRPr="00BC466A">
        <w:rPr>
          <w:rFonts w:eastAsia="Times New Roman"/>
          <w:sz w:val="20"/>
        </w:rPr>
        <w:t xml:space="preserve">CREF format is computable - not </w:t>
      </w:r>
      <w:proofErr w:type="spellStart"/>
      <w:r w:rsidRPr="00BC466A">
        <w:rPr>
          <w:rFonts w:eastAsia="Times New Roman"/>
          <w:sz w:val="20"/>
        </w:rPr>
        <w:t>pseudocode</w:t>
      </w:r>
      <w:proofErr w:type="spellEnd"/>
      <w:r w:rsidRPr="00BC466A">
        <w:rPr>
          <w:rFonts w:eastAsia="Times New Roman"/>
          <w:sz w:val="20"/>
        </w:rPr>
        <w:t xml:space="preserve"> but is as human readable as possible, avoids need for a parser - at abstract syntax tree, limits need for parsing. </w:t>
      </w:r>
    </w:p>
    <w:p w:rsidR="009A679B" w:rsidRPr="009A679B" w:rsidRDefault="00BC466A" w:rsidP="00E92325">
      <w:pPr>
        <w:pStyle w:val="ListParagraph"/>
        <w:numPr>
          <w:ilvl w:val="1"/>
          <w:numId w:val="15"/>
        </w:numPr>
        <w:spacing w:after="0"/>
        <w:rPr>
          <w:sz w:val="20"/>
        </w:rPr>
      </w:pPr>
      <w:r w:rsidRPr="00BC466A">
        <w:rPr>
          <w:rFonts w:eastAsia="Times New Roman"/>
          <w:sz w:val="20"/>
        </w:rPr>
        <w:t xml:space="preserve">GEM is </w:t>
      </w:r>
      <w:proofErr w:type="spellStart"/>
      <w:r w:rsidRPr="00BC466A">
        <w:rPr>
          <w:rFonts w:eastAsia="Times New Roman"/>
          <w:sz w:val="20"/>
        </w:rPr>
        <w:t>pseudocode</w:t>
      </w:r>
      <w:proofErr w:type="spellEnd"/>
      <w:r w:rsidRPr="00BC466A">
        <w:rPr>
          <w:rFonts w:eastAsia="Times New Roman"/>
          <w:sz w:val="20"/>
        </w:rPr>
        <w:t xml:space="preserve"> – not computable.  Represents clinical guidelines very well.  Enforces clarity of guidelines.</w:t>
      </w:r>
    </w:p>
    <w:p w:rsidR="009A679B" w:rsidRPr="009A679B" w:rsidRDefault="001F258F" w:rsidP="00E92325">
      <w:pPr>
        <w:pStyle w:val="ListParagraph"/>
        <w:numPr>
          <w:ilvl w:val="1"/>
          <w:numId w:val="15"/>
        </w:numPr>
        <w:spacing w:after="0"/>
        <w:rPr>
          <w:sz w:val="20"/>
        </w:rPr>
      </w:pPr>
      <w:r>
        <w:rPr>
          <w:rFonts w:eastAsia="Times New Roman"/>
          <w:sz w:val="20"/>
        </w:rPr>
        <w:t>Arden ML</w:t>
      </w:r>
      <w:r w:rsidR="00EC3D1C">
        <w:rPr>
          <w:rFonts w:eastAsia="Times New Roman"/>
          <w:sz w:val="20"/>
        </w:rPr>
        <w:t>/SHARPC project 2B:</w:t>
      </w:r>
      <w:r w:rsidR="00BC466A" w:rsidRPr="00BC466A">
        <w:rPr>
          <w:rFonts w:eastAsia="Times New Roman"/>
          <w:sz w:val="20"/>
        </w:rPr>
        <w:t xml:space="preserve">  XML representation of Arden Syntax.  </w:t>
      </w:r>
      <w:r w:rsidR="000B3B46">
        <w:rPr>
          <w:rFonts w:eastAsia="Times New Roman"/>
          <w:sz w:val="20"/>
        </w:rPr>
        <w:t xml:space="preserve">ArdenML is readily convertible to HL7-standard, Arden Syntax.  It inherits the readability of that standard.  </w:t>
      </w:r>
      <w:r w:rsidR="00EC3D1C">
        <w:rPr>
          <w:rFonts w:eastAsia="Times New Roman"/>
          <w:sz w:val="20"/>
        </w:rPr>
        <w:t>Inclusion of VMR in SHARPC project a</w:t>
      </w:r>
      <w:r w:rsidR="00EC3D1C" w:rsidRPr="00BC466A">
        <w:rPr>
          <w:rFonts w:eastAsia="Times New Roman"/>
          <w:sz w:val="20"/>
        </w:rPr>
        <w:t xml:space="preserve">voids </w:t>
      </w:r>
      <w:r w:rsidR="00BC466A" w:rsidRPr="00BC466A">
        <w:rPr>
          <w:rFonts w:eastAsia="Times New Roman"/>
          <w:sz w:val="20"/>
        </w:rPr>
        <w:t>legacy “curly braces” problems with reference to standardized terminologies rather than local concepts.</w:t>
      </w:r>
      <w:r w:rsidR="00EC3D1C">
        <w:rPr>
          <w:rFonts w:eastAsia="Times New Roman"/>
          <w:sz w:val="20"/>
        </w:rPr>
        <w:t xml:space="preserve">  SHARPC also provides an ontology and template for incremental adaptation of generic rules to setting-specific rules, based on selection of Setting-Specific Factors (SSFs).</w:t>
      </w:r>
    </w:p>
    <w:p w:rsidR="00E92325" w:rsidRPr="009A679B" w:rsidRDefault="00BC466A" w:rsidP="002212CB">
      <w:pPr>
        <w:pStyle w:val="ListParagraph"/>
        <w:numPr>
          <w:ilvl w:val="0"/>
          <w:numId w:val="15"/>
        </w:numPr>
        <w:spacing w:after="0"/>
        <w:rPr>
          <w:sz w:val="20"/>
        </w:rPr>
      </w:pPr>
      <w:r w:rsidRPr="00BC466A">
        <w:rPr>
          <w:b/>
          <w:sz w:val="20"/>
        </w:rPr>
        <w:t>CDS as a service.</w:t>
      </w:r>
      <w:r w:rsidRPr="00BC466A">
        <w:rPr>
          <w:sz w:val="20"/>
        </w:rPr>
        <w:t xml:space="preserve"> Consuming a CDS service is easier and more cost effective for healthcare facilities than building &amp; maintaining knowledge representation in local EHR applications. </w:t>
      </w:r>
    </w:p>
    <w:p w:rsidR="00E92325" w:rsidRPr="009A679B" w:rsidRDefault="00BC466A" w:rsidP="00E92325">
      <w:pPr>
        <w:pStyle w:val="ListParagraph"/>
        <w:numPr>
          <w:ilvl w:val="1"/>
          <w:numId w:val="19"/>
        </w:numPr>
        <w:spacing w:after="0"/>
        <w:rPr>
          <w:sz w:val="20"/>
        </w:rPr>
      </w:pPr>
      <w:r w:rsidRPr="00BC466A">
        <w:rPr>
          <w:sz w:val="20"/>
        </w:rPr>
        <w:t xml:space="preserve">Overextended community clinicians and acute care facilities do not have bandwidth to import, configure, maintain content. </w:t>
      </w:r>
    </w:p>
    <w:p w:rsidR="00196AE2" w:rsidRPr="009A679B" w:rsidRDefault="00BC466A" w:rsidP="00890317">
      <w:pPr>
        <w:pStyle w:val="ListParagraph"/>
        <w:numPr>
          <w:ilvl w:val="1"/>
          <w:numId w:val="19"/>
        </w:numPr>
        <w:rPr>
          <w:sz w:val="20"/>
        </w:rPr>
      </w:pPr>
      <w:r w:rsidRPr="00BC466A">
        <w:rPr>
          <w:sz w:val="20"/>
        </w:rPr>
        <w:t>CDS as a service also simplifies life for EHR vendors, as their primary responsibility would be to implement the outbound piece to send data to a service, and process what is returned back.</w:t>
      </w:r>
    </w:p>
    <w:p w:rsidR="009A679B" w:rsidRPr="009A679B" w:rsidRDefault="00BC466A" w:rsidP="00890317">
      <w:pPr>
        <w:pStyle w:val="ListParagraph"/>
        <w:numPr>
          <w:ilvl w:val="1"/>
          <w:numId w:val="19"/>
        </w:numPr>
        <w:rPr>
          <w:sz w:val="20"/>
        </w:rPr>
      </w:pPr>
      <w:r w:rsidRPr="00BC466A">
        <w:rPr>
          <w:sz w:val="20"/>
        </w:rPr>
        <w:t xml:space="preserve">HL7 </w:t>
      </w:r>
      <w:r w:rsidR="008B722C">
        <w:rPr>
          <w:sz w:val="20"/>
        </w:rPr>
        <w:t>Decision Support Service (DSS) and Virtual Medical Record (</w:t>
      </w:r>
      <w:proofErr w:type="spellStart"/>
      <w:r w:rsidR="008B722C">
        <w:rPr>
          <w:sz w:val="20"/>
        </w:rPr>
        <w:t>vMR</w:t>
      </w:r>
      <w:proofErr w:type="spellEnd"/>
      <w:r w:rsidR="008B722C">
        <w:rPr>
          <w:sz w:val="20"/>
        </w:rPr>
        <w:t xml:space="preserve">) standards exist </w:t>
      </w:r>
      <w:r w:rsidRPr="00BC466A">
        <w:rPr>
          <w:sz w:val="20"/>
        </w:rPr>
        <w:t>and can be leveraged here for CDS services models.</w:t>
      </w:r>
    </w:p>
    <w:p w:rsidR="004F495D" w:rsidRPr="009A679B" w:rsidRDefault="00BC466A" w:rsidP="004F495D">
      <w:pPr>
        <w:spacing w:after="0"/>
        <w:rPr>
          <w:b/>
          <w:color w:val="0070C0"/>
          <w:sz w:val="20"/>
        </w:rPr>
      </w:pPr>
      <w:r w:rsidRPr="00BC466A">
        <w:rPr>
          <w:b/>
          <w:color w:val="0070C0"/>
          <w:sz w:val="20"/>
        </w:rPr>
        <w:t>Group Presentations:</w:t>
      </w:r>
    </w:p>
    <w:p w:rsidR="004F495D" w:rsidRPr="009A679B" w:rsidRDefault="00BC466A" w:rsidP="004F495D">
      <w:pPr>
        <w:pStyle w:val="ListParagraph"/>
        <w:numPr>
          <w:ilvl w:val="0"/>
          <w:numId w:val="18"/>
        </w:numPr>
        <w:spacing w:after="0"/>
        <w:rPr>
          <w:sz w:val="20"/>
        </w:rPr>
      </w:pPr>
      <w:r w:rsidRPr="00BC466A">
        <w:rPr>
          <w:sz w:val="20"/>
        </w:rPr>
        <w:t>CDSC/ACDS – Multilayered and multiple modality knowledge representation for enabling CDS, Aziz Boxwala</w:t>
      </w:r>
    </w:p>
    <w:p w:rsidR="004F495D" w:rsidRPr="009A679B" w:rsidRDefault="00BC466A" w:rsidP="004F495D">
      <w:pPr>
        <w:pStyle w:val="ListParagraph"/>
        <w:numPr>
          <w:ilvl w:val="0"/>
          <w:numId w:val="18"/>
        </w:numPr>
        <w:spacing w:after="0"/>
        <w:rPr>
          <w:sz w:val="20"/>
        </w:rPr>
      </w:pPr>
      <w:r w:rsidRPr="00BC466A">
        <w:rPr>
          <w:sz w:val="20"/>
        </w:rPr>
        <w:t>Reliant Health – Operational Web Service-Based CDS, David Lobach</w:t>
      </w:r>
    </w:p>
    <w:p w:rsidR="004F495D" w:rsidRPr="009A679B" w:rsidRDefault="00BC466A" w:rsidP="004F495D">
      <w:pPr>
        <w:pStyle w:val="ListParagraph"/>
        <w:numPr>
          <w:ilvl w:val="0"/>
          <w:numId w:val="18"/>
        </w:numPr>
        <w:spacing w:after="0"/>
        <w:rPr>
          <w:sz w:val="20"/>
        </w:rPr>
      </w:pPr>
      <w:r w:rsidRPr="00BC466A">
        <w:rPr>
          <w:sz w:val="20"/>
        </w:rPr>
        <w:t xml:space="preserve">HL7 – </w:t>
      </w:r>
      <w:proofErr w:type="spellStart"/>
      <w:r w:rsidR="008B722C">
        <w:rPr>
          <w:sz w:val="20"/>
        </w:rPr>
        <w:t>vMR</w:t>
      </w:r>
      <w:proofErr w:type="spellEnd"/>
      <w:r w:rsidR="008B722C">
        <w:rPr>
          <w:sz w:val="20"/>
        </w:rPr>
        <w:t xml:space="preserve"> information model for CDS</w:t>
      </w:r>
      <w:r w:rsidRPr="00BC466A">
        <w:rPr>
          <w:sz w:val="20"/>
        </w:rPr>
        <w:t>, Ken Kawamoto</w:t>
      </w:r>
    </w:p>
    <w:p w:rsidR="004F495D" w:rsidRPr="009A679B" w:rsidRDefault="00BC466A" w:rsidP="004F495D">
      <w:pPr>
        <w:pStyle w:val="ListParagraph"/>
        <w:numPr>
          <w:ilvl w:val="0"/>
          <w:numId w:val="18"/>
        </w:numPr>
        <w:spacing w:after="0"/>
        <w:rPr>
          <w:sz w:val="20"/>
        </w:rPr>
      </w:pPr>
      <w:r w:rsidRPr="00BC466A">
        <w:rPr>
          <w:sz w:val="20"/>
        </w:rPr>
        <w:t>Allscripts – Common Rule Engine Format (CREF), Bryn Rhodes</w:t>
      </w:r>
    </w:p>
    <w:p w:rsidR="004F495D" w:rsidRPr="009A679B" w:rsidRDefault="00BC466A" w:rsidP="004F495D">
      <w:pPr>
        <w:pStyle w:val="ListParagraph"/>
        <w:numPr>
          <w:ilvl w:val="0"/>
          <w:numId w:val="18"/>
        </w:numPr>
        <w:spacing w:after="0"/>
        <w:rPr>
          <w:sz w:val="20"/>
        </w:rPr>
      </w:pPr>
      <w:r w:rsidRPr="00BC466A">
        <w:rPr>
          <w:sz w:val="20"/>
        </w:rPr>
        <w:t>SHARP-C – Setting-Specific Factor (SSF)-Based Rule Modules</w:t>
      </w:r>
      <w:r w:rsidR="000B3B46">
        <w:rPr>
          <w:sz w:val="20"/>
        </w:rPr>
        <w:t xml:space="preserve"> expressed in ArdenML</w:t>
      </w:r>
      <w:r w:rsidRPr="00BC466A">
        <w:rPr>
          <w:sz w:val="20"/>
        </w:rPr>
        <w:t>, Bob Greenes/Peter Haug</w:t>
      </w:r>
    </w:p>
    <w:p w:rsidR="00196AE2" w:rsidRPr="009A679B" w:rsidRDefault="00BC466A" w:rsidP="004F495D">
      <w:pPr>
        <w:pStyle w:val="ListParagraph"/>
        <w:numPr>
          <w:ilvl w:val="0"/>
          <w:numId w:val="18"/>
        </w:numPr>
        <w:spacing w:after="0"/>
        <w:rPr>
          <w:sz w:val="20"/>
        </w:rPr>
      </w:pPr>
      <w:r w:rsidRPr="00BC466A">
        <w:rPr>
          <w:sz w:val="20"/>
        </w:rPr>
        <w:lastRenderedPageBreak/>
        <w:t>GLIDES – Guideline Elements Model (GEM), Rick Shiffman</w:t>
      </w:r>
    </w:p>
    <w:p w:rsidR="00196AE2" w:rsidRPr="009A679B" w:rsidRDefault="00196AE2" w:rsidP="00196AE2">
      <w:pPr>
        <w:spacing w:after="0"/>
        <w:rPr>
          <w:sz w:val="20"/>
        </w:rPr>
      </w:pPr>
    </w:p>
    <w:p w:rsidR="006011A6" w:rsidRPr="009A679B" w:rsidRDefault="00BC466A" w:rsidP="008B722C">
      <w:pPr>
        <w:rPr>
          <w:b/>
          <w:color w:val="0070C0"/>
          <w:szCs w:val="24"/>
        </w:rPr>
      </w:pPr>
      <w:r w:rsidRPr="00BC466A">
        <w:rPr>
          <w:b/>
          <w:color w:val="0070C0"/>
          <w:szCs w:val="24"/>
        </w:rPr>
        <w:t>Summary of Group Discussion: CDS Intervention Components &amp; Candidate Solutions</w:t>
      </w:r>
    </w:p>
    <w:tbl>
      <w:tblPr>
        <w:tblStyle w:val="MediumShading2-Accent11"/>
        <w:tblW w:w="0" w:type="auto"/>
        <w:tblLook w:val="04A0" w:firstRow="1" w:lastRow="0" w:firstColumn="1" w:lastColumn="0" w:noHBand="0" w:noVBand="1"/>
      </w:tblPr>
      <w:tblGrid>
        <w:gridCol w:w="3103"/>
        <w:gridCol w:w="3310"/>
        <w:gridCol w:w="3163"/>
      </w:tblGrid>
      <w:tr w:rsidR="006011A6" w:rsidRPr="009A679B" w:rsidTr="00164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:rsidR="006011A6" w:rsidRPr="009A679B" w:rsidRDefault="00BC466A" w:rsidP="006A06B0">
            <w:pPr>
              <w:spacing w:after="200" w:line="276" w:lineRule="auto"/>
              <w:rPr>
                <w:sz w:val="24"/>
                <w:szCs w:val="28"/>
              </w:rPr>
            </w:pPr>
            <w:r w:rsidRPr="00BC466A">
              <w:rPr>
                <w:sz w:val="24"/>
                <w:szCs w:val="28"/>
              </w:rPr>
              <w:t xml:space="preserve">Components </w:t>
            </w:r>
          </w:p>
        </w:tc>
        <w:tc>
          <w:tcPr>
            <w:tcW w:w="2856" w:type="dxa"/>
          </w:tcPr>
          <w:p w:rsidR="006011A6" w:rsidRPr="009A679B" w:rsidRDefault="00BC466A" w:rsidP="005E734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C466A">
              <w:rPr>
                <w:sz w:val="24"/>
                <w:szCs w:val="28"/>
              </w:rPr>
              <w:t>Candidate Standard</w:t>
            </w:r>
          </w:p>
        </w:tc>
        <w:tc>
          <w:tcPr>
            <w:tcW w:w="3192" w:type="dxa"/>
            <w:tcBorders>
              <w:right w:val="single" w:sz="8" w:space="0" w:color="auto"/>
            </w:tcBorders>
          </w:tcPr>
          <w:p w:rsidR="006011A6" w:rsidRPr="009A679B" w:rsidRDefault="00BC466A" w:rsidP="006A06B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C466A">
              <w:rPr>
                <w:sz w:val="24"/>
                <w:szCs w:val="28"/>
              </w:rPr>
              <w:t>Outstanding work</w:t>
            </w:r>
          </w:p>
        </w:tc>
      </w:tr>
      <w:tr w:rsidR="006011A6" w:rsidRPr="009A679B" w:rsidTr="0016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011A6" w:rsidRPr="009A679B" w:rsidRDefault="00BC466A" w:rsidP="005E734D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0"/>
              </w:rPr>
            </w:pPr>
            <w:r w:rsidRPr="00BC466A">
              <w:rPr>
                <w:sz w:val="20"/>
              </w:rPr>
              <w:t xml:space="preserve">Data Model </w:t>
            </w:r>
            <w:r w:rsidRPr="00BC466A">
              <w:rPr>
                <w:sz w:val="20"/>
              </w:rPr>
              <w:br/>
            </w:r>
            <w:r w:rsidRPr="00BC466A">
              <w:rPr>
                <w:i/>
                <w:sz w:val="20"/>
              </w:rPr>
              <w:t>Lingua franca for pt. data</w:t>
            </w:r>
          </w:p>
          <w:p w:rsidR="005E734D" w:rsidRPr="009A679B" w:rsidRDefault="00BC466A" w:rsidP="005E734D">
            <w:pPr>
              <w:pStyle w:val="ListParagraph"/>
              <w:spacing w:after="200" w:line="276" w:lineRule="auto"/>
              <w:ind w:left="360"/>
              <w:rPr>
                <w:sz w:val="20"/>
              </w:rPr>
            </w:pPr>
            <w:r w:rsidRPr="00BC466A">
              <w:rPr>
                <w:i/>
                <w:sz w:val="20"/>
              </w:rPr>
              <w:t>Data, instance, conditions</w:t>
            </w:r>
          </w:p>
        </w:tc>
        <w:tc>
          <w:tcPr>
            <w:tcW w:w="2856" w:type="dxa"/>
          </w:tcPr>
          <w:p w:rsidR="008B722C" w:rsidRPr="009A679B" w:rsidRDefault="008B722C" w:rsidP="006A06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HL7 </w:t>
            </w:r>
            <w:r w:rsidRPr="00BC466A">
              <w:rPr>
                <w:sz w:val="20"/>
              </w:rPr>
              <w:t>Virtual Medical Record (</w:t>
            </w:r>
            <w:proofErr w:type="spellStart"/>
            <w:r w:rsidRPr="00BC466A">
              <w:rPr>
                <w:sz w:val="20"/>
              </w:rPr>
              <w:t>vMR</w:t>
            </w:r>
            <w:proofErr w:type="spellEnd"/>
            <w:r w:rsidRPr="00BC466A">
              <w:rPr>
                <w:sz w:val="20"/>
              </w:rPr>
              <w:t>)</w:t>
            </w:r>
            <w:r>
              <w:rPr>
                <w:sz w:val="20"/>
              </w:rPr>
              <w:t xml:space="preserve"> specification (</w:t>
            </w:r>
            <w:r w:rsidRPr="00192151">
              <w:t>http://wiki.hl7.org/index.php</w:t>
            </w:r>
            <w:r w:rsidRPr="00F61871">
              <w:rPr>
                <w:sz w:val="20"/>
              </w:rPr>
              <w:t>?</w:t>
            </w:r>
            <w:r>
              <w:rPr>
                <w:sz w:val="20"/>
              </w:rPr>
              <w:t xml:space="preserve"> </w:t>
            </w:r>
            <w:r w:rsidRPr="00F61871">
              <w:rPr>
                <w:sz w:val="20"/>
              </w:rPr>
              <w:t>title=</w:t>
            </w:r>
            <w:proofErr w:type="spellStart"/>
            <w:r w:rsidRPr="00F61871">
              <w:rPr>
                <w:sz w:val="20"/>
              </w:rPr>
              <w:t>Virtual_Medical_Record</w:t>
            </w:r>
            <w:proofErr w:type="spellEnd"/>
            <w:r w:rsidRPr="00F61871">
              <w:rPr>
                <w:sz w:val="20"/>
              </w:rPr>
              <w:t>_</w:t>
            </w:r>
            <w:r>
              <w:rPr>
                <w:sz w:val="20"/>
              </w:rPr>
              <w:t xml:space="preserve"> </w:t>
            </w:r>
            <w:r w:rsidRPr="00F61871">
              <w:rPr>
                <w:sz w:val="20"/>
              </w:rPr>
              <w:t>%28vMR%29#vMR_Specifications</w:t>
            </w:r>
            <w:r>
              <w:rPr>
                <w:sz w:val="20"/>
              </w:rPr>
              <w:t>)</w:t>
            </w:r>
          </w:p>
        </w:tc>
        <w:tc>
          <w:tcPr>
            <w:tcW w:w="3192" w:type="dxa"/>
            <w:tcBorders>
              <w:right w:val="single" w:sz="8" w:space="0" w:color="auto"/>
            </w:tcBorders>
          </w:tcPr>
          <w:p w:rsidR="006011A6" w:rsidRPr="009A679B" w:rsidRDefault="00BC466A" w:rsidP="006A06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C466A">
              <w:rPr>
                <w:sz w:val="20"/>
              </w:rPr>
              <w:t xml:space="preserve">Ensure that </w:t>
            </w:r>
            <w:proofErr w:type="spellStart"/>
            <w:r w:rsidRPr="00BC466A">
              <w:rPr>
                <w:sz w:val="20"/>
              </w:rPr>
              <w:t>vMR</w:t>
            </w:r>
            <w:proofErr w:type="spellEnd"/>
            <w:r w:rsidRPr="00BC466A">
              <w:rPr>
                <w:sz w:val="20"/>
              </w:rPr>
              <w:t xml:space="preserve"> contains all required data elements for CDS.</w:t>
            </w:r>
          </w:p>
          <w:p w:rsidR="00196AE2" w:rsidRPr="009A679B" w:rsidRDefault="00196AE2" w:rsidP="006A06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196AE2" w:rsidRPr="009A679B" w:rsidRDefault="00196AE2" w:rsidP="006A06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6011A6" w:rsidRPr="009A679B" w:rsidTr="00164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011A6" w:rsidRPr="009A679B" w:rsidRDefault="00BC466A" w:rsidP="002212CB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0"/>
              </w:rPr>
            </w:pPr>
            <w:r w:rsidRPr="00BC466A">
              <w:rPr>
                <w:sz w:val="20"/>
              </w:rPr>
              <w:t xml:space="preserve">Knowledge Representation  </w:t>
            </w:r>
            <w:r w:rsidRPr="00BC466A">
              <w:rPr>
                <w:i/>
                <w:sz w:val="20"/>
              </w:rPr>
              <w:t>Lingua franca for CDS logic (Rules, interventions, actions)</w:t>
            </w:r>
            <w:r w:rsidRPr="00BC466A">
              <w:rPr>
                <w:i/>
                <w:sz w:val="20"/>
              </w:rPr>
              <w:br/>
              <w:t>Standard transport format that references standard value sets</w:t>
            </w:r>
            <w:r w:rsidRPr="00BC466A">
              <w:rPr>
                <w:i/>
                <w:sz w:val="20"/>
              </w:rPr>
              <w:br/>
            </w:r>
          </w:p>
        </w:tc>
        <w:tc>
          <w:tcPr>
            <w:tcW w:w="2856" w:type="dxa"/>
          </w:tcPr>
          <w:p w:rsidR="008B722C" w:rsidRDefault="008B722C" w:rsidP="006011A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GEM</w:t>
            </w:r>
          </w:p>
          <w:p w:rsidR="006011A6" w:rsidRPr="009A679B" w:rsidRDefault="00BC466A" w:rsidP="006011A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C466A">
              <w:rPr>
                <w:sz w:val="20"/>
              </w:rPr>
              <w:t>CDSC L3</w:t>
            </w:r>
          </w:p>
          <w:p w:rsidR="004F495D" w:rsidRPr="009A679B" w:rsidRDefault="00BC466A" w:rsidP="006011A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C466A">
              <w:rPr>
                <w:sz w:val="20"/>
              </w:rPr>
              <w:t>CREF</w:t>
            </w:r>
          </w:p>
          <w:p w:rsidR="00D94773" w:rsidRPr="009A679B" w:rsidRDefault="00BC466A" w:rsidP="00D9477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C466A">
              <w:rPr>
                <w:sz w:val="20"/>
              </w:rPr>
              <w:t xml:space="preserve">CDSC L3 </w:t>
            </w:r>
            <w:r w:rsidRPr="00BC466A">
              <w:rPr>
                <w:sz w:val="20"/>
                <w:u w:val="single"/>
              </w:rPr>
              <w:t>and</w:t>
            </w:r>
            <w:r w:rsidRPr="00BC466A">
              <w:rPr>
                <w:sz w:val="20"/>
              </w:rPr>
              <w:t xml:space="preserve"> CREF</w:t>
            </w:r>
          </w:p>
          <w:p w:rsidR="00773A7E" w:rsidRPr="009A679B" w:rsidRDefault="00BC466A" w:rsidP="00D9477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C466A">
              <w:rPr>
                <w:sz w:val="20"/>
              </w:rPr>
              <w:t>ArdenML</w:t>
            </w:r>
            <w:r w:rsidR="00EC3D1C">
              <w:rPr>
                <w:sz w:val="20"/>
              </w:rPr>
              <w:t xml:space="preserve"> with SSFs and incorporation of VMR</w:t>
            </w:r>
          </w:p>
        </w:tc>
        <w:tc>
          <w:tcPr>
            <w:tcW w:w="3192" w:type="dxa"/>
            <w:tcBorders>
              <w:right w:val="single" w:sz="8" w:space="0" w:color="auto"/>
            </w:tcBorders>
          </w:tcPr>
          <w:p w:rsidR="002212CB" w:rsidRPr="009A679B" w:rsidRDefault="00BC466A" w:rsidP="002212C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C466A">
              <w:rPr>
                <w:sz w:val="20"/>
              </w:rPr>
              <w:t>Specify expressions within L3 using CREF for computable knowledge representation.</w:t>
            </w:r>
          </w:p>
          <w:p w:rsidR="006011A6" w:rsidRPr="009A679B" w:rsidRDefault="006011A6" w:rsidP="006A06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713A9F" w:rsidRPr="009A679B" w:rsidTr="0016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713A9F" w:rsidRPr="009A679B" w:rsidRDefault="00BC466A" w:rsidP="00713A9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b w:val="0"/>
                <w:bCs w:val="0"/>
                <w:sz w:val="20"/>
              </w:rPr>
            </w:pPr>
            <w:r w:rsidRPr="00BC466A">
              <w:rPr>
                <w:sz w:val="20"/>
              </w:rPr>
              <w:t xml:space="preserve">CDS Services </w:t>
            </w:r>
            <w:r w:rsidRPr="00BC466A">
              <w:rPr>
                <w:sz w:val="20"/>
              </w:rPr>
              <w:br/>
            </w:r>
            <w:r w:rsidRPr="00BC466A">
              <w:rPr>
                <w:i/>
                <w:sz w:val="20"/>
              </w:rPr>
              <w:t xml:space="preserve">Automated consumption </w:t>
            </w:r>
          </w:p>
        </w:tc>
        <w:tc>
          <w:tcPr>
            <w:tcW w:w="2856" w:type="dxa"/>
          </w:tcPr>
          <w:p w:rsidR="007F16A7" w:rsidRDefault="007F16A7" w:rsidP="007F16A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HL7 Decision Support Service standard and potentially other relevant CDS standards (</w:t>
            </w:r>
            <w:hyperlink r:id="rId15" w:history="1">
              <w:r>
                <w:rPr>
                  <w:rStyle w:val="Hyperlink"/>
                  <w:sz w:val="20"/>
                </w:rPr>
                <w:t>http://hssp-dss.wikispaces.com/hl7_specification</w:t>
              </w:r>
            </w:hyperlink>
            <w:r>
              <w:rPr>
                <w:sz w:val="20"/>
              </w:rPr>
              <w:t>)</w:t>
            </w:r>
          </w:p>
          <w:p w:rsidR="007F16A7" w:rsidRPr="009A679B" w:rsidRDefault="007F16A7" w:rsidP="007F16A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192" w:type="dxa"/>
            <w:tcBorders>
              <w:right w:val="single" w:sz="8" w:space="0" w:color="auto"/>
            </w:tcBorders>
          </w:tcPr>
          <w:p w:rsidR="00713A9F" w:rsidRPr="009A679B" w:rsidRDefault="00BC466A" w:rsidP="0095145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C466A">
              <w:rPr>
                <w:sz w:val="20"/>
              </w:rPr>
              <w:t>Specify</w:t>
            </w:r>
            <w:r w:rsidR="007F16A7">
              <w:rPr>
                <w:sz w:val="20"/>
              </w:rPr>
              <w:t xml:space="preserve"> additional service interfaces required to support CDS as a service</w:t>
            </w:r>
            <w:r w:rsidR="007F16A7" w:rsidRPr="00BC466A">
              <w:rPr>
                <w:sz w:val="20"/>
              </w:rPr>
              <w:t>.</w:t>
            </w:r>
            <w:r w:rsidR="007F16A7">
              <w:rPr>
                <w:sz w:val="20"/>
              </w:rPr>
              <w:t xml:space="preserve">  The HL7 CDS Work Group has started on this work (</w:t>
            </w:r>
            <w:hyperlink r:id="rId16" w:history="1">
              <w:r w:rsidR="007F16A7" w:rsidRPr="00A56A51">
                <w:rPr>
                  <w:rStyle w:val="Hyperlink"/>
                  <w:sz w:val="20"/>
                </w:rPr>
                <w:t>http://ehrs4cds.wikispaces.com/</w:t>
              </w:r>
            </w:hyperlink>
            <w:r w:rsidR="007F16A7">
              <w:rPr>
                <w:sz w:val="20"/>
              </w:rPr>
              <w:t>).</w:t>
            </w:r>
          </w:p>
        </w:tc>
      </w:tr>
      <w:tr w:rsidR="00713A9F" w:rsidRPr="009A679B" w:rsidTr="00164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713A9F" w:rsidRPr="009A679B" w:rsidRDefault="008B722C" w:rsidP="00713A9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bCs w:val="0"/>
                <w:sz w:val="20"/>
              </w:rPr>
            </w:pPr>
            <w:r>
              <w:rPr>
                <w:sz w:val="20"/>
              </w:rPr>
              <w:t xml:space="preserve">User </w:t>
            </w:r>
            <w:r w:rsidR="00BC466A" w:rsidRPr="00BC466A">
              <w:rPr>
                <w:sz w:val="20"/>
              </w:rPr>
              <w:t>Interface</w:t>
            </w:r>
          </w:p>
        </w:tc>
        <w:tc>
          <w:tcPr>
            <w:tcW w:w="2856" w:type="dxa"/>
          </w:tcPr>
          <w:p w:rsidR="00713A9F" w:rsidRPr="009A679B" w:rsidRDefault="00BC466A" w:rsidP="008903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C466A">
              <w:rPr>
                <w:sz w:val="20"/>
              </w:rPr>
              <w:t>Standardization not required. Vendors will implement the user interface layer and facilities will customize point-in-time presentation to localized workflows</w:t>
            </w:r>
          </w:p>
        </w:tc>
        <w:tc>
          <w:tcPr>
            <w:tcW w:w="3192" w:type="dxa"/>
            <w:tcBorders>
              <w:right w:val="single" w:sz="8" w:space="0" w:color="auto"/>
            </w:tcBorders>
          </w:tcPr>
          <w:p w:rsidR="00713A9F" w:rsidRPr="009A679B" w:rsidRDefault="00BC466A" w:rsidP="006A06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C466A">
              <w:rPr>
                <w:sz w:val="20"/>
              </w:rPr>
              <w:t>N/A</w:t>
            </w:r>
          </w:p>
        </w:tc>
      </w:tr>
      <w:tr w:rsidR="004F495D" w:rsidRPr="009A679B" w:rsidTr="0016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4F495D" w:rsidRPr="009A679B" w:rsidRDefault="00BC466A" w:rsidP="00713A9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bCs w:val="0"/>
                <w:sz w:val="20"/>
              </w:rPr>
            </w:pPr>
            <w:r w:rsidRPr="00BC466A">
              <w:rPr>
                <w:sz w:val="20"/>
              </w:rPr>
              <w:t>Governance</w:t>
            </w:r>
          </w:p>
        </w:tc>
        <w:tc>
          <w:tcPr>
            <w:tcW w:w="2856" w:type="dxa"/>
          </w:tcPr>
          <w:p w:rsidR="004F495D" w:rsidRPr="009A679B" w:rsidRDefault="004F495D" w:rsidP="006A06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3192" w:type="dxa"/>
            <w:tcBorders>
              <w:bottom w:val="single" w:sz="18" w:space="0" w:color="auto"/>
              <w:right w:val="single" w:sz="8" w:space="0" w:color="auto"/>
            </w:tcBorders>
          </w:tcPr>
          <w:p w:rsidR="004F495D" w:rsidRPr="009A679B" w:rsidRDefault="00BC466A" w:rsidP="0095145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C466A">
              <w:rPr>
                <w:sz w:val="20"/>
              </w:rPr>
              <w:t>Create a policy sandbox for CDS to identify the types of agreements that need to be in place for an organization to share CDS content or consume CDS services.</w:t>
            </w:r>
          </w:p>
        </w:tc>
      </w:tr>
    </w:tbl>
    <w:p w:rsidR="00713A9F" w:rsidRPr="009A679B" w:rsidRDefault="00713A9F" w:rsidP="009F618F">
      <w:pPr>
        <w:spacing w:after="0"/>
        <w:rPr>
          <w:sz w:val="20"/>
        </w:rPr>
      </w:pPr>
    </w:p>
    <w:p w:rsidR="00291F39" w:rsidRPr="009A679B" w:rsidRDefault="00BC466A" w:rsidP="00892AEB">
      <w:pPr>
        <w:rPr>
          <w:sz w:val="20"/>
        </w:rPr>
      </w:pPr>
      <w:r w:rsidRPr="00BC466A">
        <w:rPr>
          <w:b/>
          <w:color w:val="0070C0"/>
          <w:sz w:val="20"/>
        </w:rPr>
        <w:t>Additional Tools:</w:t>
      </w:r>
      <w:r w:rsidRPr="00BC466A">
        <w:rPr>
          <w:sz w:val="20"/>
        </w:rPr>
        <w:t xml:space="preserve"> Other standardized tools will be used further upstream (GEM – an ANSI standard, BRIDGE-Wiz – tool for guideline authors, mapped to HQMF, etc. </w:t>
      </w:r>
    </w:p>
    <w:p w:rsidR="000434B3" w:rsidRPr="009A679B" w:rsidRDefault="00BC466A" w:rsidP="006A06B0">
      <w:pPr>
        <w:spacing w:after="0"/>
        <w:rPr>
          <w:b/>
          <w:color w:val="0070C0"/>
          <w:sz w:val="20"/>
        </w:rPr>
      </w:pPr>
      <w:r w:rsidRPr="00BC466A">
        <w:rPr>
          <w:b/>
          <w:color w:val="0070C0"/>
          <w:sz w:val="20"/>
        </w:rPr>
        <w:t xml:space="preserve">Relationship between CDS and Quality measurement: </w:t>
      </w:r>
    </w:p>
    <w:p w:rsidR="009A679B" w:rsidRPr="009A679B" w:rsidRDefault="009A679B" w:rsidP="009A679B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9A679B">
        <w:rPr>
          <w:sz w:val="20"/>
        </w:rPr>
        <w:t>CDS: People like Bob need a colonoscopy</w:t>
      </w:r>
    </w:p>
    <w:p w:rsidR="00EB7D0E" w:rsidRPr="009A679B" w:rsidRDefault="00BC466A" w:rsidP="00EB7D0E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BC466A">
        <w:rPr>
          <w:sz w:val="20"/>
        </w:rPr>
        <w:lastRenderedPageBreak/>
        <w:t>CQM: Did Bob get a colonoscopy?</w:t>
      </w:r>
    </w:p>
    <w:p w:rsidR="00EB7D0E" w:rsidRPr="009A679B" w:rsidRDefault="009A679B" w:rsidP="00EB7D0E">
      <w:pPr>
        <w:pStyle w:val="ListParagraph"/>
        <w:numPr>
          <w:ilvl w:val="0"/>
          <w:numId w:val="5"/>
        </w:numPr>
        <w:spacing w:after="0"/>
        <w:rPr>
          <w:sz w:val="20"/>
        </w:rPr>
      </w:pPr>
      <w:r>
        <w:rPr>
          <w:sz w:val="20"/>
        </w:rPr>
        <w:t>QM reporting</w:t>
      </w:r>
      <w:r w:rsidR="00BC466A" w:rsidRPr="00BC466A">
        <w:rPr>
          <w:sz w:val="20"/>
        </w:rPr>
        <w:t>: Bob Got One!</w:t>
      </w:r>
    </w:p>
    <w:p w:rsidR="00BB503B" w:rsidRPr="009A679B" w:rsidRDefault="00BB503B" w:rsidP="00BB503B">
      <w:pPr>
        <w:spacing w:after="0"/>
        <w:rPr>
          <w:sz w:val="20"/>
        </w:rPr>
      </w:pPr>
    </w:p>
    <w:p w:rsidR="00D85134" w:rsidRPr="009A679B" w:rsidRDefault="00BC466A" w:rsidP="00BB503B">
      <w:pPr>
        <w:spacing w:after="0"/>
        <w:rPr>
          <w:b/>
          <w:color w:val="0070C0"/>
          <w:sz w:val="20"/>
        </w:rPr>
      </w:pPr>
      <w:r w:rsidRPr="00BC466A">
        <w:rPr>
          <w:b/>
          <w:color w:val="0070C0"/>
          <w:sz w:val="20"/>
        </w:rPr>
        <w:t xml:space="preserve">Relationship between Knowledge Representation and Ontologies: </w:t>
      </w:r>
    </w:p>
    <w:p w:rsidR="00D85134" w:rsidRPr="009A679B" w:rsidRDefault="00BC466A" w:rsidP="00D85134">
      <w:pPr>
        <w:pStyle w:val="ListParagraph"/>
        <w:numPr>
          <w:ilvl w:val="0"/>
          <w:numId w:val="21"/>
        </w:numPr>
        <w:spacing w:after="0"/>
        <w:rPr>
          <w:sz w:val="20"/>
        </w:rPr>
      </w:pPr>
      <w:r w:rsidRPr="00BC466A">
        <w:rPr>
          <w:sz w:val="20"/>
        </w:rPr>
        <w:t>Ontologies capture a level of medical knowledge representation that doesn’t happen elsewhere</w:t>
      </w:r>
    </w:p>
    <w:p w:rsidR="00D85134" w:rsidRPr="009A679B" w:rsidRDefault="00BC466A" w:rsidP="00D85134">
      <w:pPr>
        <w:pStyle w:val="ListParagraph"/>
        <w:numPr>
          <w:ilvl w:val="0"/>
          <w:numId w:val="21"/>
        </w:numPr>
        <w:spacing w:after="0"/>
        <w:rPr>
          <w:sz w:val="20"/>
        </w:rPr>
      </w:pPr>
      <w:r w:rsidRPr="00BC466A">
        <w:rPr>
          <w:sz w:val="20"/>
        </w:rPr>
        <w:t xml:space="preserve">While ontologies may not be in the XML, they are referred to in value sets. A national library of value sets that knowledge representation artifacts can reference is needed. </w:t>
      </w:r>
    </w:p>
    <w:p w:rsidR="006A06B0" w:rsidRPr="009A679B" w:rsidRDefault="006A06B0" w:rsidP="006A06B0">
      <w:pPr>
        <w:spacing w:after="0"/>
        <w:rPr>
          <w:sz w:val="20"/>
        </w:rPr>
      </w:pPr>
    </w:p>
    <w:p w:rsidR="006011A6" w:rsidRPr="009A679B" w:rsidRDefault="00BC466A" w:rsidP="006A06B0">
      <w:pPr>
        <w:spacing w:after="0"/>
        <w:rPr>
          <w:b/>
          <w:color w:val="0070C0"/>
          <w:sz w:val="20"/>
        </w:rPr>
      </w:pPr>
      <w:r w:rsidRPr="00BC466A">
        <w:rPr>
          <w:b/>
          <w:color w:val="0070C0"/>
          <w:sz w:val="20"/>
        </w:rPr>
        <w:t>Meaningful Use considerations:</w:t>
      </w:r>
    </w:p>
    <w:p w:rsidR="00890317" w:rsidRPr="009A679B" w:rsidRDefault="00BC466A" w:rsidP="00890317">
      <w:pPr>
        <w:pStyle w:val="ListParagraph"/>
        <w:numPr>
          <w:ilvl w:val="0"/>
          <w:numId w:val="20"/>
        </w:numPr>
        <w:spacing w:after="0"/>
        <w:rPr>
          <w:sz w:val="20"/>
        </w:rPr>
      </w:pPr>
      <w:r w:rsidRPr="00BC466A">
        <w:rPr>
          <w:sz w:val="20"/>
        </w:rPr>
        <w:t>Define the most important problem/desired outcome and focus on this for certification criteria.</w:t>
      </w:r>
    </w:p>
    <w:p w:rsidR="00E107C2" w:rsidRPr="009A679B" w:rsidRDefault="00BC466A" w:rsidP="00890317">
      <w:pPr>
        <w:pStyle w:val="ListParagraph"/>
        <w:numPr>
          <w:ilvl w:val="0"/>
          <w:numId w:val="20"/>
        </w:numPr>
        <w:spacing w:after="0"/>
        <w:rPr>
          <w:sz w:val="20"/>
        </w:rPr>
      </w:pPr>
      <w:r w:rsidRPr="00BC466A">
        <w:rPr>
          <w:sz w:val="20"/>
        </w:rPr>
        <w:t xml:space="preserve">In MU 2 and 3, it will be important to establish a CDS floor, not a ceiling. For example, facilities with robust CDS capabilities that exceed that of a CDS service would not want to go backwards in functionality to meet MU requirements.  </w:t>
      </w:r>
    </w:p>
    <w:p w:rsidR="00653C97" w:rsidRPr="009A679B" w:rsidRDefault="00BC466A" w:rsidP="00890317">
      <w:pPr>
        <w:pStyle w:val="ListParagraph"/>
        <w:numPr>
          <w:ilvl w:val="0"/>
          <w:numId w:val="20"/>
        </w:numPr>
        <w:spacing w:after="0"/>
        <w:rPr>
          <w:sz w:val="20"/>
        </w:rPr>
      </w:pPr>
      <w:r w:rsidRPr="00BC466A">
        <w:rPr>
          <w:sz w:val="20"/>
        </w:rPr>
        <w:t>In stage 3, might see a knowledge vendor providing set</w:t>
      </w:r>
      <w:r w:rsidR="00C42B89">
        <w:rPr>
          <w:sz w:val="20"/>
        </w:rPr>
        <w:t>s</w:t>
      </w:r>
      <w:r w:rsidRPr="00BC466A">
        <w:rPr>
          <w:sz w:val="20"/>
        </w:rPr>
        <w:t xml:space="preserve"> of things beyond the federal set of 20 or 30 that all vendors have.</w:t>
      </w:r>
    </w:p>
    <w:p w:rsidR="000E56E4" w:rsidRPr="009A679B" w:rsidRDefault="000E56E4" w:rsidP="000E56E4">
      <w:pPr>
        <w:spacing w:after="0"/>
        <w:rPr>
          <w:sz w:val="20"/>
        </w:rPr>
      </w:pPr>
    </w:p>
    <w:p w:rsidR="00D85134" w:rsidRPr="009A679B" w:rsidRDefault="00BC466A" w:rsidP="00D85134">
      <w:pPr>
        <w:spacing w:after="0"/>
        <w:rPr>
          <w:b/>
          <w:color w:val="0070C0"/>
          <w:sz w:val="20"/>
        </w:rPr>
      </w:pPr>
      <w:r w:rsidRPr="00BC466A">
        <w:rPr>
          <w:b/>
          <w:color w:val="0070C0"/>
          <w:sz w:val="20"/>
        </w:rPr>
        <w:t>Challenges:</w:t>
      </w:r>
    </w:p>
    <w:p w:rsidR="00D85134" w:rsidRPr="009A679B" w:rsidRDefault="00BC466A" w:rsidP="00D85134">
      <w:pPr>
        <w:pStyle w:val="ListParagraph"/>
        <w:numPr>
          <w:ilvl w:val="0"/>
          <w:numId w:val="12"/>
        </w:numPr>
        <w:rPr>
          <w:sz w:val="20"/>
        </w:rPr>
      </w:pPr>
      <w:r w:rsidRPr="00BC466A">
        <w:rPr>
          <w:sz w:val="20"/>
        </w:rPr>
        <w:t>Need to coalesce work already happening</w:t>
      </w:r>
    </w:p>
    <w:p w:rsidR="00D85134" w:rsidRPr="009A679B" w:rsidRDefault="00BC466A" w:rsidP="00D85134">
      <w:pPr>
        <w:pStyle w:val="ListParagraph"/>
        <w:numPr>
          <w:ilvl w:val="0"/>
          <w:numId w:val="12"/>
        </w:numPr>
        <w:rPr>
          <w:sz w:val="20"/>
        </w:rPr>
      </w:pPr>
      <w:r w:rsidRPr="00BC466A">
        <w:rPr>
          <w:sz w:val="20"/>
        </w:rPr>
        <w:t>Need support for experts to engage</w:t>
      </w:r>
    </w:p>
    <w:p w:rsidR="00D85134" w:rsidRPr="009A679B" w:rsidRDefault="00BC466A" w:rsidP="00D85134">
      <w:pPr>
        <w:pStyle w:val="ListParagraph"/>
        <w:numPr>
          <w:ilvl w:val="0"/>
          <w:numId w:val="12"/>
        </w:numPr>
        <w:rPr>
          <w:sz w:val="20"/>
        </w:rPr>
      </w:pPr>
      <w:r w:rsidRPr="00BC466A">
        <w:rPr>
          <w:sz w:val="20"/>
        </w:rPr>
        <w:t>Timeline for MU</w:t>
      </w:r>
      <w:r w:rsidR="00C42B89">
        <w:rPr>
          <w:sz w:val="20"/>
        </w:rPr>
        <w:t xml:space="preserve"> 3</w:t>
      </w:r>
      <w:r w:rsidRPr="00BC466A">
        <w:rPr>
          <w:sz w:val="20"/>
        </w:rPr>
        <w:t xml:space="preserve"> is aggressive</w:t>
      </w:r>
    </w:p>
    <w:p w:rsidR="00D85134" w:rsidRPr="009A679B" w:rsidRDefault="00BC466A" w:rsidP="00D85134">
      <w:pPr>
        <w:pStyle w:val="ListParagraph"/>
        <w:numPr>
          <w:ilvl w:val="0"/>
          <w:numId w:val="12"/>
        </w:numPr>
        <w:rPr>
          <w:sz w:val="20"/>
        </w:rPr>
      </w:pPr>
      <w:r w:rsidRPr="00BC466A">
        <w:rPr>
          <w:sz w:val="20"/>
        </w:rPr>
        <w:t>Need stewardship of collaborative efforts</w:t>
      </w:r>
    </w:p>
    <w:p w:rsidR="00D85134" w:rsidRPr="009A679B" w:rsidRDefault="00BC466A" w:rsidP="00D85134">
      <w:pPr>
        <w:pStyle w:val="ListParagraph"/>
        <w:numPr>
          <w:ilvl w:val="0"/>
          <w:numId w:val="12"/>
        </w:numPr>
        <w:rPr>
          <w:sz w:val="20"/>
        </w:rPr>
      </w:pPr>
      <w:r w:rsidRPr="00BC466A">
        <w:rPr>
          <w:sz w:val="20"/>
        </w:rPr>
        <w:t>Like HIE: policy and governance are the hard parts</w:t>
      </w:r>
    </w:p>
    <w:p w:rsidR="00D85134" w:rsidRPr="009A679B" w:rsidRDefault="00BC466A" w:rsidP="00D85134">
      <w:pPr>
        <w:pStyle w:val="ListParagraph"/>
        <w:numPr>
          <w:ilvl w:val="0"/>
          <w:numId w:val="12"/>
        </w:numPr>
        <w:rPr>
          <w:sz w:val="20"/>
        </w:rPr>
      </w:pPr>
      <w:r w:rsidRPr="00BC466A">
        <w:rPr>
          <w:sz w:val="20"/>
        </w:rPr>
        <w:t>Easy way to integrate into a product</w:t>
      </w:r>
    </w:p>
    <w:p w:rsidR="00951454" w:rsidRDefault="00BC466A" w:rsidP="004F495D">
      <w:pPr>
        <w:spacing w:after="0"/>
        <w:rPr>
          <w:b/>
          <w:color w:val="0070C0"/>
          <w:sz w:val="20"/>
        </w:rPr>
      </w:pPr>
      <w:r w:rsidRPr="00BC466A">
        <w:rPr>
          <w:b/>
          <w:color w:val="0070C0"/>
          <w:sz w:val="20"/>
        </w:rPr>
        <w:t xml:space="preserve">Possible </w:t>
      </w:r>
      <w:r w:rsidR="007F16A7">
        <w:rPr>
          <w:b/>
          <w:color w:val="0070C0"/>
          <w:sz w:val="20"/>
        </w:rPr>
        <w:t xml:space="preserve">initiative </w:t>
      </w:r>
      <w:r w:rsidRPr="00BC466A">
        <w:rPr>
          <w:b/>
          <w:color w:val="0070C0"/>
          <w:sz w:val="20"/>
        </w:rPr>
        <w:t>timeline:</w:t>
      </w:r>
    </w:p>
    <w:p w:rsidR="003E2A3E" w:rsidRDefault="003E2A3E" w:rsidP="004F495D">
      <w:pPr>
        <w:spacing w:after="0"/>
        <w:rPr>
          <w:b/>
          <w:color w:val="0070C0"/>
          <w:sz w:val="20"/>
        </w:rPr>
      </w:pPr>
    </w:p>
    <w:p w:rsidR="003E2A3E" w:rsidRPr="003E2A3E" w:rsidRDefault="003E2A3E" w:rsidP="003E2A3E">
      <w:pPr>
        <w:spacing w:after="0"/>
        <w:ind w:left="360"/>
        <w:rPr>
          <w:b/>
          <w:color w:val="0070C0"/>
          <w:sz w:val="20"/>
        </w:rPr>
      </w:pPr>
      <w:r w:rsidRPr="003E2A3E">
        <w:rPr>
          <w:b/>
          <w:color w:val="0070C0"/>
          <w:sz w:val="20"/>
        </w:rPr>
        <w:t>2012</w:t>
      </w:r>
    </w:p>
    <w:p w:rsidR="003E2A3E" w:rsidRDefault="003E2A3E" w:rsidP="003E2A3E">
      <w:pPr>
        <w:pStyle w:val="ListParagraph"/>
        <w:numPr>
          <w:ilvl w:val="0"/>
          <w:numId w:val="22"/>
        </w:numPr>
        <w:spacing w:after="0" w:line="240" w:lineRule="auto"/>
        <w:ind w:left="720"/>
        <w:jc w:val="both"/>
        <w:rPr>
          <w:rFonts w:eastAsiaTheme="minorHAnsi"/>
          <w:sz w:val="20"/>
        </w:rPr>
      </w:pPr>
      <w:r>
        <w:rPr>
          <w:sz w:val="20"/>
        </w:rPr>
        <w:t xml:space="preserve">June: </w:t>
      </w:r>
      <w:r w:rsidRPr="00BC466A">
        <w:rPr>
          <w:sz w:val="20"/>
        </w:rPr>
        <w:t>S&amp;I kickoff</w:t>
      </w:r>
    </w:p>
    <w:p w:rsidR="003E2A3E" w:rsidRDefault="003E2A3E" w:rsidP="003E2A3E">
      <w:pPr>
        <w:pStyle w:val="ListParagraph"/>
        <w:numPr>
          <w:ilvl w:val="0"/>
          <w:numId w:val="22"/>
        </w:numPr>
        <w:tabs>
          <w:tab w:val="left" w:pos="1530"/>
        </w:tabs>
        <w:spacing w:after="0" w:line="240" w:lineRule="auto"/>
        <w:ind w:left="720"/>
        <w:jc w:val="both"/>
        <w:rPr>
          <w:rFonts w:eastAsiaTheme="minorHAnsi"/>
          <w:sz w:val="20"/>
        </w:rPr>
      </w:pPr>
      <w:r>
        <w:rPr>
          <w:sz w:val="20"/>
        </w:rPr>
        <w:t xml:space="preserve">July/August: </w:t>
      </w:r>
      <w:r w:rsidR="00CE54A6">
        <w:rPr>
          <w:sz w:val="20"/>
        </w:rPr>
        <w:t>CDS intervention format</w:t>
      </w:r>
      <w:r>
        <w:rPr>
          <w:sz w:val="20"/>
        </w:rPr>
        <w:t xml:space="preserve"> agreement</w:t>
      </w:r>
      <w:r w:rsidR="00CE54A6">
        <w:rPr>
          <w:sz w:val="20"/>
        </w:rPr>
        <w:t>; SDO prep</w:t>
      </w:r>
    </w:p>
    <w:p w:rsidR="003E2A3E" w:rsidRPr="00CE54A6" w:rsidRDefault="00CE54A6" w:rsidP="00CE54A6">
      <w:pPr>
        <w:pStyle w:val="ListParagraph"/>
        <w:numPr>
          <w:ilvl w:val="0"/>
          <w:numId w:val="22"/>
        </w:numPr>
        <w:spacing w:after="0" w:line="240" w:lineRule="auto"/>
        <w:ind w:left="720"/>
        <w:jc w:val="both"/>
        <w:rPr>
          <w:sz w:val="20"/>
        </w:rPr>
      </w:pPr>
      <w:r>
        <w:rPr>
          <w:sz w:val="20"/>
        </w:rPr>
        <w:t xml:space="preserve">Fall: </w:t>
      </w:r>
      <w:r w:rsidR="003E2A3E">
        <w:rPr>
          <w:sz w:val="20"/>
        </w:rPr>
        <w:t xml:space="preserve">Pilots </w:t>
      </w:r>
      <w:r>
        <w:rPr>
          <w:sz w:val="20"/>
        </w:rPr>
        <w:t xml:space="preserve">well underway; </w:t>
      </w:r>
      <w:r w:rsidR="003E2A3E" w:rsidRPr="00CE54A6">
        <w:rPr>
          <w:sz w:val="20"/>
        </w:rPr>
        <w:t xml:space="preserve"> SDO balloting </w:t>
      </w:r>
    </w:p>
    <w:p w:rsidR="003E2A3E" w:rsidRDefault="003E2A3E" w:rsidP="003E2A3E">
      <w:pPr>
        <w:pStyle w:val="ListParagraph"/>
        <w:spacing w:after="0" w:line="240" w:lineRule="auto"/>
        <w:jc w:val="both"/>
        <w:rPr>
          <w:sz w:val="20"/>
        </w:rPr>
      </w:pPr>
    </w:p>
    <w:p w:rsidR="003E2A3E" w:rsidRPr="003E2A3E" w:rsidRDefault="003E2A3E" w:rsidP="003E2A3E">
      <w:pPr>
        <w:spacing w:after="0"/>
        <w:ind w:left="360"/>
        <w:rPr>
          <w:b/>
          <w:color w:val="0070C0"/>
          <w:sz w:val="20"/>
        </w:rPr>
      </w:pPr>
      <w:r w:rsidRPr="003E2A3E">
        <w:rPr>
          <w:b/>
          <w:color w:val="0070C0"/>
          <w:sz w:val="20"/>
        </w:rPr>
        <w:t>2013</w:t>
      </w:r>
      <w:r>
        <w:rPr>
          <w:b/>
          <w:color w:val="0070C0"/>
          <w:sz w:val="20"/>
        </w:rPr>
        <w:t xml:space="preserve"> +</w:t>
      </w:r>
    </w:p>
    <w:p w:rsidR="003E2A3E" w:rsidRPr="00CE54A6" w:rsidRDefault="00CE54A6" w:rsidP="00CE54A6">
      <w:pPr>
        <w:pStyle w:val="ListParagraph"/>
        <w:numPr>
          <w:ilvl w:val="0"/>
          <w:numId w:val="23"/>
        </w:numPr>
        <w:ind w:left="720"/>
        <w:rPr>
          <w:sz w:val="20"/>
        </w:rPr>
      </w:pPr>
      <w:r>
        <w:rPr>
          <w:sz w:val="20"/>
        </w:rPr>
        <w:t xml:space="preserve">Winter: Wrap up pilots; </w:t>
      </w:r>
      <w:r w:rsidR="003E2A3E" w:rsidRPr="00CE54A6">
        <w:rPr>
          <w:sz w:val="20"/>
        </w:rPr>
        <w:t>SDO Balloting complete (or May if 2</w:t>
      </w:r>
      <w:r w:rsidR="003E2A3E" w:rsidRPr="00CE54A6">
        <w:rPr>
          <w:sz w:val="20"/>
          <w:vertAlign w:val="superscript"/>
        </w:rPr>
        <w:t>nd</w:t>
      </w:r>
      <w:r w:rsidR="003E2A3E" w:rsidRPr="00CE54A6">
        <w:rPr>
          <w:sz w:val="20"/>
        </w:rPr>
        <w:t xml:space="preserve"> try necessary)</w:t>
      </w:r>
    </w:p>
    <w:p w:rsidR="003E2A3E" w:rsidRDefault="003E2A3E" w:rsidP="003E2A3E">
      <w:pPr>
        <w:pStyle w:val="ListParagraph"/>
        <w:numPr>
          <w:ilvl w:val="0"/>
          <w:numId w:val="23"/>
        </w:numPr>
        <w:spacing w:after="0" w:line="240" w:lineRule="auto"/>
        <w:ind w:left="720"/>
        <w:jc w:val="both"/>
        <w:rPr>
          <w:sz w:val="20"/>
        </w:rPr>
      </w:pPr>
      <w:r>
        <w:rPr>
          <w:sz w:val="20"/>
        </w:rPr>
        <w:t>201</w:t>
      </w:r>
      <w:r w:rsidR="00CE54A6">
        <w:rPr>
          <w:sz w:val="20"/>
        </w:rPr>
        <w:t>4</w:t>
      </w:r>
      <w:r>
        <w:rPr>
          <w:sz w:val="20"/>
        </w:rPr>
        <w:t>: Additional pilots</w:t>
      </w:r>
      <w:r w:rsidR="007F16A7">
        <w:rPr>
          <w:sz w:val="20"/>
        </w:rPr>
        <w:t xml:space="preserve"> if necessary</w:t>
      </w:r>
      <w:r>
        <w:rPr>
          <w:sz w:val="20"/>
        </w:rPr>
        <w:t>/ production use</w:t>
      </w:r>
    </w:p>
    <w:p w:rsidR="00D85134" w:rsidRDefault="00D85134" w:rsidP="00D85134">
      <w:pPr>
        <w:spacing w:after="0"/>
        <w:rPr>
          <w:sz w:val="20"/>
        </w:rPr>
      </w:pPr>
    </w:p>
    <w:p w:rsidR="003E2A3E" w:rsidRPr="009A679B" w:rsidRDefault="003E2A3E" w:rsidP="00D85134">
      <w:pPr>
        <w:spacing w:after="0"/>
        <w:rPr>
          <w:sz w:val="20"/>
        </w:rPr>
      </w:pPr>
    </w:p>
    <w:p w:rsidR="00D93454" w:rsidRPr="009A679B" w:rsidRDefault="00D93454" w:rsidP="00D85134">
      <w:pPr>
        <w:spacing w:after="0"/>
        <w:rPr>
          <w:sz w:val="20"/>
        </w:rPr>
      </w:pPr>
    </w:p>
    <w:p w:rsidR="00653C97" w:rsidRPr="009A679B" w:rsidRDefault="00653C97" w:rsidP="006A06B0">
      <w:pPr>
        <w:spacing w:after="0"/>
        <w:rPr>
          <w:sz w:val="20"/>
        </w:rPr>
      </w:pPr>
    </w:p>
    <w:sectPr w:rsidR="00653C97" w:rsidRPr="009A679B" w:rsidSect="006A06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CB2" w:rsidRDefault="00701CB2" w:rsidP="009F618F">
      <w:pPr>
        <w:spacing w:after="0" w:line="240" w:lineRule="auto"/>
      </w:pPr>
      <w:r>
        <w:separator/>
      </w:r>
    </w:p>
  </w:endnote>
  <w:endnote w:type="continuationSeparator" w:id="0">
    <w:p w:rsidR="00701CB2" w:rsidRDefault="00701CB2" w:rsidP="009F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3165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3B46" w:rsidRDefault="00C0036D">
        <w:pPr>
          <w:pStyle w:val="Footer"/>
          <w:jc w:val="right"/>
        </w:pPr>
        <w:r>
          <w:fldChar w:fldCharType="begin"/>
        </w:r>
        <w:r w:rsidR="000B3B46">
          <w:instrText xml:space="preserve"> PAGE   \* MERGEFORMAT </w:instrText>
        </w:r>
        <w:r>
          <w:fldChar w:fldCharType="separate"/>
        </w:r>
        <w:r w:rsidR="007275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3B46" w:rsidRDefault="000B3B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CB2" w:rsidRDefault="00701CB2" w:rsidP="009F618F">
      <w:pPr>
        <w:spacing w:after="0" w:line="240" w:lineRule="auto"/>
      </w:pPr>
      <w:r>
        <w:separator/>
      </w:r>
    </w:p>
  </w:footnote>
  <w:footnote w:type="continuationSeparator" w:id="0">
    <w:p w:rsidR="00701CB2" w:rsidRDefault="00701CB2" w:rsidP="009F6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B46" w:rsidRDefault="000B3B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B46" w:rsidRDefault="000B3B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B46" w:rsidRDefault="000B3B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0571"/>
    <w:multiLevelType w:val="hybridMultilevel"/>
    <w:tmpl w:val="DC68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169F"/>
    <w:multiLevelType w:val="hybridMultilevel"/>
    <w:tmpl w:val="4984C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D7F8D"/>
    <w:multiLevelType w:val="hybridMultilevel"/>
    <w:tmpl w:val="32F4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54B32"/>
    <w:multiLevelType w:val="hybridMultilevel"/>
    <w:tmpl w:val="1BD63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2E44F2"/>
    <w:multiLevelType w:val="hybridMultilevel"/>
    <w:tmpl w:val="68EE10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0542D"/>
    <w:multiLevelType w:val="hybridMultilevel"/>
    <w:tmpl w:val="39F4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B069B"/>
    <w:multiLevelType w:val="hybridMultilevel"/>
    <w:tmpl w:val="526A02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D4546"/>
    <w:multiLevelType w:val="hybridMultilevel"/>
    <w:tmpl w:val="8EC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A1EF8"/>
    <w:multiLevelType w:val="hybridMultilevel"/>
    <w:tmpl w:val="7174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42B6E"/>
    <w:multiLevelType w:val="hybridMultilevel"/>
    <w:tmpl w:val="AE06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2033C"/>
    <w:multiLevelType w:val="hybridMultilevel"/>
    <w:tmpl w:val="6522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937EB"/>
    <w:multiLevelType w:val="hybridMultilevel"/>
    <w:tmpl w:val="C676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0B7430"/>
    <w:multiLevelType w:val="hybridMultilevel"/>
    <w:tmpl w:val="2D0E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46B22"/>
    <w:multiLevelType w:val="hybridMultilevel"/>
    <w:tmpl w:val="DF5C8AF6"/>
    <w:lvl w:ilvl="0" w:tplc="CA6C09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E7673"/>
    <w:multiLevelType w:val="hybridMultilevel"/>
    <w:tmpl w:val="17E03548"/>
    <w:lvl w:ilvl="0" w:tplc="EBA23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AE5937"/>
    <w:multiLevelType w:val="hybridMultilevel"/>
    <w:tmpl w:val="B132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4A0AB1"/>
    <w:multiLevelType w:val="hybridMultilevel"/>
    <w:tmpl w:val="A9162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5732BC3"/>
    <w:multiLevelType w:val="hybridMultilevel"/>
    <w:tmpl w:val="3A56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A106E8"/>
    <w:multiLevelType w:val="hybridMultilevel"/>
    <w:tmpl w:val="32A0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3E7285"/>
    <w:multiLevelType w:val="hybridMultilevel"/>
    <w:tmpl w:val="560E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FE20D2"/>
    <w:multiLevelType w:val="hybridMultilevel"/>
    <w:tmpl w:val="1E088BB0"/>
    <w:lvl w:ilvl="0" w:tplc="9D488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8D7009"/>
    <w:multiLevelType w:val="hybridMultilevel"/>
    <w:tmpl w:val="AC70E95A"/>
    <w:lvl w:ilvl="0" w:tplc="EBA23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F0694"/>
    <w:multiLevelType w:val="hybridMultilevel"/>
    <w:tmpl w:val="A2E6FA2E"/>
    <w:lvl w:ilvl="0" w:tplc="EBA23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0"/>
  </w:num>
  <w:num w:numId="3">
    <w:abstractNumId w:val="15"/>
  </w:num>
  <w:num w:numId="4">
    <w:abstractNumId w:val="8"/>
  </w:num>
  <w:num w:numId="5">
    <w:abstractNumId w:val="18"/>
  </w:num>
  <w:num w:numId="6">
    <w:abstractNumId w:val="1"/>
  </w:num>
  <w:num w:numId="7">
    <w:abstractNumId w:val="21"/>
  </w:num>
  <w:num w:numId="8">
    <w:abstractNumId w:val="14"/>
  </w:num>
  <w:num w:numId="9">
    <w:abstractNumId w:val="19"/>
  </w:num>
  <w:num w:numId="10">
    <w:abstractNumId w:val="11"/>
  </w:num>
  <w:num w:numId="11">
    <w:abstractNumId w:val="22"/>
  </w:num>
  <w:num w:numId="12">
    <w:abstractNumId w:val="9"/>
  </w:num>
  <w:num w:numId="13">
    <w:abstractNumId w:val="13"/>
  </w:num>
  <w:num w:numId="14">
    <w:abstractNumId w:val="12"/>
  </w:num>
  <w:num w:numId="15">
    <w:abstractNumId w:val="20"/>
  </w:num>
  <w:num w:numId="16">
    <w:abstractNumId w:val="2"/>
  </w:num>
  <w:num w:numId="17">
    <w:abstractNumId w:val="4"/>
  </w:num>
  <w:num w:numId="18">
    <w:abstractNumId w:val="5"/>
  </w:num>
  <w:num w:numId="19">
    <w:abstractNumId w:val="7"/>
  </w:num>
  <w:num w:numId="20">
    <w:abstractNumId w:val="6"/>
  </w:num>
  <w:num w:numId="21">
    <w:abstractNumId w:val="17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CCDA6D23-8B14-4651-9585-E5D07E686590}"/>
    <w:docVar w:name="dgnword-eventsink" w:val="5371728"/>
  </w:docVars>
  <w:rsids>
    <w:rsidRoot w:val="006A06B0"/>
    <w:rsid w:val="000434B3"/>
    <w:rsid w:val="000879B3"/>
    <w:rsid w:val="00096E91"/>
    <w:rsid w:val="000B3B46"/>
    <w:rsid w:val="000E56E4"/>
    <w:rsid w:val="000F0192"/>
    <w:rsid w:val="00101C01"/>
    <w:rsid w:val="001334C8"/>
    <w:rsid w:val="00164D4A"/>
    <w:rsid w:val="00196AE2"/>
    <w:rsid w:val="001B445E"/>
    <w:rsid w:val="001F258F"/>
    <w:rsid w:val="00211035"/>
    <w:rsid w:val="002212CB"/>
    <w:rsid w:val="00226D23"/>
    <w:rsid w:val="00232176"/>
    <w:rsid w:val="00232B9E"/>
    <w:rsid w:val="00291F39"/>
    <w:rsid w:val="00351A9A"/>
    <w:rsid w:val="00360911"/>
    <w:rsid w:val="003E2A3E"/>
    <w:rsid w:val="004B5E26"/>
    <w:rsid w:val="004C5EEB"/>
    <w:rsid w:val="004F495D"/>
    <w:rsid w:val="005C229E"/>
    <w:rsid w:val="005D1D07"/>
    <w:rsid w:val="005E734D"/>
    <w:rsid w:val="006011A6"/>
    <w:rsid w:val="00653C97"/>
    <w:rsid w:val="00665F32"/>
    <w:rsid w:val="006A06B0"/>
    <w:rsid w:val="00701CB2"/>
    <w:rsid w:val="00713A9F"/>
    <w:rsid w:val="00727558"/>
    <w:rsid w:val="00773A7E"/>
    <w:rsid w:val="00784EB6"/>
    <w:rsid w:val="007F16A7"/>
    <w:rsid w:val="00804A16"/>
    <w:rsid w:val="00842048"/>
    <w:rsid w:val="00890317"/>
    <w:rsid w:val="00892AEB"/>
    <w:rsid w:val="008B0FDB"/>
    <w:rsid w:val="008B722C"/>
    <w:rsid w:val="008E6A0B"/>
    <w:rsid w:val="00951454"/>
    <w:rsid w:val="00984387"/>
    <w:rsid w:val="009A679B"/>
    <w:rsid w:val="009D3CD4"/>
    <w:rsid w:val="009F618F"/>
    <w:rsid w:val="00BB503B"/>
    <w:rsid w:val="00BC0B0A"/>
    <w:rsid w:val="00BC466A"/>
    <w:rsid w:val="00BF5765"/>
    <w:rsid w:val="00C0036D"/>
    <w:rsid w:val="00C42B89"/>
    <w:rsid w:val="00CD7983"/>
    <w:rsid w:val="00CE54A6"/>
    <w:rsid w:val="00D85134"/>
    <w:rsid w:val="00D93454"/>
    <w:rsid w:val="00D94773"/>
    <w:rsid w:val="00DE0816"/>
    <w:rsid w:val="00DE6942"/>
    <w:rsid w:val="00E107C2"/>
    <w:rsid w:val="00E50580"/>
    <w:rsid w:val="00E92325"/>
    <w:rsid w:val="00E9563B"/>
    <w:rsid w:val="00EB7D0E"/>
    <w:rsid w:val="00EC3D1C"/>
    <w:rsid w:val="00F97F75"/>
    <w:rsid w:val="00F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B3"/>
    <w:pPr>
      <w:ind w:left="720"/>
      <w:contextualSpacing/>
    </w:pPr>
    <w:rPr>
      <w:rFonts w:eastAsiaTheme="minorEastAsia"/>
    </w:rPr>
  </w:style>
  <w:style w:type="character" w:customStyle="1" w:styleId="apple-style-span">
    <w:name w:val="apple-style-span"/>
    <w:basedOn w:val="DefaultParagraphFont"/>
    <w:rsid w:val="000434B3"/>
  </w:style>
  <w:style w:type="character" w:customStyle="1" w:styleId="apple-tab-span">
    <w:name w:val="apple-tab-span"/>
    <w:basedOn w:val="DefaultParagraphFont"/>
    <w:rsid w:val="000434B3"/>
  </w:style>
  <w:style w:type="paragraph" w:styleId="Header">
    <w:name w:val="header"/>
    <w:basedOn w:val="Normal"/>
    <w:link w:val="HeaderChar"/>
    <w:uiPriority w:val="99"/>
    <w:unhideWhenUsed/>
    <w:rsid w:val="009F6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18F"/>
  </w:style>
  <w:style w:type="paragraph" w:styleId="Footer">
    <w:name w:val="footer"/>
    <w:basedOn w:val="Normal"/>
    <w:link w:val="FooterChar"/>
    <w:uiPriority w:val="99"/>
    <w:unhideWhenUsed/>
    <w:rsid w:val="009F6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18F"/>
  </w:style>
  <w:style w:type="table" w:styleId="TableGrid">
    <w:name w:val="Table Grid"/>
    <w:basedOn w:val="TableNormal"/>
    <w:uiPriority w:val="59"/>
    <w:rsid w:val="00BB503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011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713A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5145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1454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5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3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D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D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D1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16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B3"/>
    <w:pPr>
      <w:ind w:left="720"/>
      <w:contextualSpacing/>
    </w:pPr>
    <w:rPr>
      <w:rFonts w:eastAsiaTheme="minorEastAsia"/>
    </w:rPr>
  </w:style>
  <w:style w:type="character" w:customStyle="1" w:styleId="apple-style-span">
    <w:name w:val="apple-style-span"/>
    <w:basedOn w:val="DefaultParagraphFont"/>
    <w:rsid w:val="000434B3"/>
  </w:style>
  <w:style w:type="character" w:customStyle="1" w:styleId="apple-tab-span">
    <w:name w:val="apple-tab-span"/>
    <w:basedOn w:val="DefaultParagraphFont"/>
    <w:rsid w:val="000434B3"/>
  </w:style>
  <w:style w:type="paragraph" w:styleId="Header">
    <w:name w:val="header"/>
    <w:basedOn w:val="Normal"/>
    <w:link w:val="HeaderChar"/>
    <w:uiPriority w:val="99"/>
    <w:unhideWhenUsed/>
    <w:rsid w:val="009F6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18F"/>
  </w:style>
  <w:style w:type="paragraph" w:styleId="Footer">
    <w:name w:val="footer"/>
    <w:basedOn w:val="Normal"/>
    <w:link w:val="FooterChar"/>
    <w:uiPriority w:val="99"/>
    <w:unhideWhenUsed/>
    <w:rsid w:val="009F6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18F"/>
  </w:style>
  <w:style w:type="table" w:styleId="TableGrid">
    <w:name w:val="Table Grid"/>
    <w:basedOn w:val="TableNormal"/>
    <w:uiPriority w:val="59"/>
    <w:rsid w:val="00BB503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1">
    <w:name w:val="Light List Accent 1"/>
    <w:basedOn w:val="TableNormal"/>
    <w:uiPriority w:val="61"/>
    <w:rsid w:val="006011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1">
    <w:name w:val="Medium Shading 2 Accent 1"/>
    <w:basedOn w:val="TableNormal"/>
    <w:uiPriority w:val="64"/>
    <w:rsid w:val="00713A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5145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1454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5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3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D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D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D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hrs4cds.wikispace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hssp-dss.wikispaces.com/hl7_specification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F10BF-1096-413B-B1AA-378D8AEF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M. Womack</dc:creator>
  <cp:lastModifiedBy>Jamie</cp:lastModifiedBy>
  <cp:revision>2</cp:revision>
  <dcterms:created xsi:type="dcterms:W3CDTF">2012-05-29T13:20:00Z</dcterms:created>
  <dcterms:modified xsi:type="dcterms:W3CDTF">2012-05-29T13:20:00Z</dcterms:modified>
</cp:coreProperties>
</file>