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9E" w:rsidRPr="004A3EE2" w:rsidRDefault="00AA489E">
      <w:pPr>
        <w:spacing w:after="200" w:line="276" w:lineRule="auto"/>
        <w:rPr>
          <w:sz w:val="24"/>
        </w:rPr>
      </w:pPr>
      <w:bookmarkStart w:id="0" w:name="_GoBack"/>
      <w:bookmarkEnd w:id="0"/>
    </w:p>
    <w:p w:rsidR="009E1011" w:rsidRPr="004A3EE2" w:rsidRDefault="004A3EE2" w:rsidP="004A3EE2">
      <w:pPr>
        <w:jc w:val="center"/>
        <w:rPr>
          <w:b/>
          <w:sz w:val="24"/>
        </w:rPr>
      </w:pPr>
      <w:r w:rsidRPr="004A3EE2">
        <w:rPr>
          <w:b/>
          <w:sz w:val="24"/>
        </w:rPr>
        <w:t>ONC – Sharable CDS Project</w:t>
      </w:r>
    </w:p>
    <w:p w:rsidR="004A3EE2" w:rsidRPr="004A3EE2" w:rsidRDefault="004A3EE2" w:rsidP="004A3EE2">
      <w:pPr>
        <w:jc w:val="center"/>
        <w:rPr>
          <w:b/>
          <w:sz w:val="24"/>
        </w:rPr>
      </w:pPr>
      <w:r w:rsidRPr="004A3EE2">
        <w:rPr>
          <w:b/>
          <w:sz w:val="24"/>
        </w:rPr>
        <w:t xml:space="preserve">CDS Sharing Structure </w:t>
      </w:r>
      <w:r>
        <w:rPr>
          <w:b/>
          <w:sz w:val="24"/>
        </w:rPr>
        <w:t xml:space="preserve">- </w:t>
      </w:r>
      <w:r w:rsidRPr="004A3EE2">
        <w:rPr>
          <w:b/>
          <w:sz w:val="24"/>
        </w:rPr>
        <w:t xml:space="preserve">Description </w:t>
      </w:r>
      <w:r>
        <w:rPr>
          <w:b/>
          <w:sz w:val="24"/>
        </w:rPr>
        <w:t>Form and Example</w:t>
      </w:r>
    </w:p>
    <w:p w:rsidR="004A3EE2" w:rsidRPr="004A3EE2" w:rsidRDefault="004A3EE2" w:rsidP="004A3EE2">
      <w:pPr>
        <w:jc w:val="center"/>
        <w:rPr>
          <w:b/>
          <w:sz w:val="24"/>
        </w:rPr>
      </w:pPr>
      <w:r w:rsidRPr="004A3EE2">
        <w:rPr>
          <w:b/>
          <w:sz w:val="24"/>
        </w:rPr>
        <w:t>March 30, 2012</w:t>
      </w:r>
    </w:p>
    <w:p w:rsidR="004A3EE2" w:rsidRDefault="004A3EE2"/>
    <w:p w:rsidR="004A3EE2" w:rsidRDefault="00847760">
      <w:r>
        <w:t>Please take as much</w:t>
      </w:r>
      <w:r w:rsidRPr="004A3EE2">
        <w:t xml:space="preserve"> space as you need for your responses</w:t>
      </w:r>
      <w:r w:rsidR="004A3EE2">
        <w:t xml:space="preserve"> for the description form</w:t>
      </w:r>
      <w:r w:rsidRPr="004A3EE2">
        <w:t>.</w:t>
      </w:r>
      <w:r w:rsidR="004A3EE2" w:rsidRPr="004A3EE2">
        <w:t xml:space="preserve">  </w:t>
      </w:r>
      <w:r w:rsidR="004A3EE2">
        <w:t xml:space="preserve"> </w:t>
      </w:r>
    </w:p>
    <w:p w:rsidR="004A3EE2" w:rsidRDefault="004A3EE2">
      <w:r>
        <w:t xml:space="preserve">Don’t forget to provide the CDS examples listed at the end of this document, below the structure-description table.     </w:t>
      </w:r>
    </w:p>
    <w:p w:rsidR="00847760" w:rsidRDefault="004A3EE2">
      <w:r w:rsidRPr="004A3EE2">
        <w:t xml:space="preserve">Please </w:t>
      </w:r>
      <w:r>
        <w:t xml:space="preserve">return </w:t>
      </w:r>
      <w:r w:rsidRPr="004A3EE2">
        <w:t xml:space="preserve">by EOB Tuesday 4/3/2012.  </w:t>
      </w:r>
    </w:p>
    <w:p w:rsidR="00847760" w:rsidRPr="004A3EE2" w:rsidRDefault="004A3EE2" w:rsidP="004A3EE2">
      <w:pPr>
        <w:spacing w:before="100" w:beforeAutospacing="1" w:after="100" w:afterAutospacing="1"/>
        <w:ind w:firstLine="720"/>
      </w:pPr>
      <w:r>
        <w:rPr>
          <w:b/>
          <w:bCs/>
          <w:i/>
        </w:rPr>
        <w:t>Clarifying note</w:t>
      </w:r>
      <w:r w:rsidRPr="004A3EE2">
        <w:rPr>
          <w:b/>
          <w:bCs/>
          <w:i/>
        </w:rPr>
        <w:t>:</w:t>
      </w:r>
      <w:r>
        <w:rPr>
          <w:bCs/>
        </w:rPr>
        <w:t xml:space="preserve"> </w:t>
      </w:r>
      <w:r w:rsidR="00847760" w:rsidRPr="004A3EE2">
        <w:rPr>
          <w:bCs/>
        </w:rPr>
        <w:t xml:space="preserve">We have replaced the term “clinical decision support rule” used in the 2011 Edition EHR certification criteria and the HITSC recommended criterion with the term “clinical decision support intervention” to better align with, and clearly allow for, the variety of decision support mechanisms available that help improve clinical performance and outcomes.  A CDS intervention is not simply an alert, notification, or explicit care suggestion.  Rather, it should be more broadly interpreted as the user-facing representation of evidence-based clinical guidance.  Our goal in clarifying the nomenclature is to focus more on the representation of the guidance (the CDS intervention) that the EHR technology should offer to the user rather than prescribe the form of either the logical representation of the clinical guidance or how the intervention interacts with the user.  </w:t>
      </w:r>
    </w:p>
    <w:p w:rsidR="00847760" w:rsidRDefault="004A3EE2" w:rsidP="004A3EE2">
      <w:pPr>
        <w:pStyle w:val="ListParagraph"/>
        <w:numPr>
          <w:ilvl w:val="0"/>
          <w:numId w:val="6"/>
        </w:numPr>
        <w:rPr>
          <w:b/>
        </w:rPr>
      </w:pPr>
      <w:r>
        <w:rPr>
          <w:b/>
        </w:rPr>
        <w:t xml:space="preserve">CDS </w:t>
      </w:r>
      <w:r w:rsidRPr="004A3EE2">
        <w:rPr>
          <w:b/>
        </w:rPr>
        <w:t>Structure Description</w:t>
      </w:r>
    </w:p>
    <w:p w:rsidR="004A3EE2" w:rsidRDefault="004A3EE2" w:rsidP="004A3EE2">
      <w:pPr>
        <w:rPr>
          <w:b/>
        </w:rPr>
      </w:pPr>
    </w:p>
    <w:tbl>
      <w:tblPr>
        <w:tblStyle w:val="TableGrid"/>
        <w:tblW w:w="0" w:type="auto"/>
        <w:tblLook w:val="04A0"/>
      </w:tblPr>
      <w:tblGrid>
        <w:gridCol w:w="4104"/>
        <w:gridCol w:w="4536"/>
        <w:gridCol w:w="4536"/>
      </w:tblGrid>
      <w:tr w:rsidR="00AA489E" w:rsidRPr="00AA489E" w:rsidTr="00AA489E">
        <w:tc>
          <w:tcPr>
            <w:tcW w:w="4104" w:type="dxa"/>
          </w:tcPr>
          <w:p w:rsidR="00AA489E" w:rsidRPr="00AA489E" w:rsidRDefault="00AA489E" w:rsidP="00DE7709"/>
        </w:tc>
        <w:tc>
          <w:tcPr>
            <w:tcW w:w="4536" w:type="dxa"/>
          </w:tcPr>
          <w:p w:rsidR="00AA489E" w:rsidRPr="00AA489E" w:rsidRDefault="00AA489E" w:rsidP="00DE7709">
            <w:r>
              <w:t>Example</w:t>
            </w:r>
          </w:p>
        </w:tc>
        <w:tc>
          <w:tcPr>
            <w:tcW w:w="4536" w:type="dxa"/>
          </w:tcPr>
          <w:p w:rsidR="00AA489E" w:rsidRPr="00AA489E" w:rsidRDefault="00AA489E" w:rsidP="00DE7709">
            <w:r>
              <w:t>Your responses</w:t>
            </w:r>
          </w:p>
        </w:tc>
      </w:tr>
      <w:tr w:rsidR="00847760" w:rsidRPr="00AA489E" w:rsidTr="00AA489E">
        <w:tc>
          <w:tcPr>
            <w:tcW w:w="4104" w:type="dxa"/>
          </w:tcPr>
          <w:p w:rsidR="00847760" w:rsidRPr="00AA489E" w:rsidRDefault="00847760" w:rsidP="00AA489E">
            <w:pPr>
              <w:rPr>
                <w:b/>
              </w:rPr>
            </w:pPr>
            <w:r>
              <w:rPr>
                <w:b/>
              </w:rPr>
              <w:t>Your name</w:t>
            </w:r>
          </w:p>
        </w:tc>
        <w:tc>
          <w:tcPr>
            <w:tcW w:w="4536" w:type="dxa"/>
          </w:tcPr>
          <w:p w:rsidR="00847760" w:rsidRPr="00AA489E" w:rsidRDefault="00847760" w:rsidP="00DE7709"/>
        </w:tc>
        <w:tc>
          <w:tcPr>
            <w:tcW w:w="4536" w:type="dxa"/>
          </w:tcPr>
          <w:p w:rsidR="00847760" w:rsidRPr="00AA489E" w:rsidRDefault="006913B9" w:rsidP="00DE7709">
            <w:r>
              <w:t>Bob Greenes</w:t>
            </w:r>
            <w:r w:rsidR="00DE7709">
              <w:t>, Peter Haug</w:t>
            </w:r>
            <w:r w:rsidR="00EF7279">
              <w:t>, Samson Tu, Mary Goldstein</w:t>
            </w:r>
            <w:r w:rsidR="0029379F">
              <w:t>, Jerry Osheroff</w:t>
            </w:r>
          </w:p>
        </w:tc>
      </w:tr>
      <w:tr w:rsidR="00AA489E" w:rsidRPr="00AA489E" w:rsidTr="00AA489E">
        <w:tc>
          <w:tcPr>
            <w:tcW w:w="4104" w:type="dxa"/>
          </w:tcPr>
          <w:p w:rsidR="00AA489E" w:rsidRPr="00AA489E" w:rsidRDefault="00AA489E" w:rsidP="00AA489E">
            <w:pPr>
              <w:rPr>
                <w:b/>
              </w:rPr>
            </w:pPr>
            <w:r w:rsidRPr="00AA489E">
              <w:rPr>
                <w:b/>
              </w:rPr>
              <w:t xml:space="preserve">Name of your model or project </w:t>
            </w:r>
          </w:p>
        </w:tc>
        <w:tc>
          <w:tcPr>
            <w:tcW w:w="4536" w:type="dxa"/>
          </w:tcPr>
          <w:p w:rsidR="00AA489E" w:rsidRPr="00AA489E" w:rsidRDefault="00AA489E" w:rsidP="009153A5"/>
        </w:tc>
        <w:tc>
          <w:tcPr>
            <w:tcW w:w="4536" w:type="dxa"/>
          </w:tcPr>
          <w:p w:rsidR="00AA489E" w:rsidRPr="00AA489E" w:rsidRDefault="006913B9" w:rsidP="00DE7709">
            <w:r>
              <w:t>Setting-Specific Factor (SSF)-Based Rule Modules</w:t>
            </w:r>
          </w:p>
        </w:tc>
      </w:tr>
      <w:tr w:rsidR="00AA489E" w:rsidRPr="00AA489E" w:rsidTr="00AA489E">
        <w:tc>
          <w:tcPr>
            <w:tcW w:w="4104" w:type="dxa"/>
          </w:tcPr>
          <w:p w:rsidR="00AA489E" w:rsidRPr="00AA489E" w:rsidRDefault="00AA489E" w:rsidP="00AA489E">
            <w:pPr>
              <w:rPr>
                <w:b/>
              </w:rPr>
            </w:pPr>
            <w:r w:rsidRPr="00AA489E">
              <w:rPr>
                <w:b/>
              </w:rPr>
              <w:t xml:space="preserve">Major function or purpose </w:t>
            </w:r>
          </w:p>
        </w:tc>
        <w:tc>
          <w:tcPr>
            <w:tcW w:w="4536" w:type="dxa"/>
          </w:tcPr>
          <w:p w:rsidR="00AA489E" w:rsidRPr="00AA489E" w:rsidRDefault="009153A5" w:rsidP="00DE7709">
            <w:r>
              <w:t>To</w:t>
            </w:r>
            <w:r w:rsidR="00AA489E" w:rsidRPr="00AA489E">
              <w:t xml:space="preserve"> improve readability and precision of guidelines; to provide downloadable or copyable interventions; to provide a remote CDS </w:t>
            </w:r>
            <w:r w:rsidR="00AA489E">
              <w:t>service</w:t>
            </w:r>
          </w:p>
        </w:tc>
        <w:tc>
          <w:tcPr>
            <w:tcW w:w="4536" w:type="dxa"/>
          </w:tcPr>
          <w:p w:rsidR="007D1D84" w:rsidRDefault="006913B9" w:rsidP="007D1D84">
            <w:pPr>
              <w:pStyle w:val="ListParagraph"/>
              <w:numPr>
                <w:ilvl w:val="0"/>
                <w:numId w:val="7"/>
              </w:numPr>
              <w:rPr>
                <w:sz w:val="16"/>
                <w:szCs w:val="16"/>
              </w:rPr>
            </w:pPr>
            <w:r>
              <w:t>To enable providers/care sites to easily select factors that will enable them to adapt generic rules to their workflow, usage patterns, and settings</w:t>
            </w:r>
            <w:r w:rsidR="00DE7709">
              <w:t xml:space="preserve">. </w:t>
            </w:r>
          </w:p>
          <w:p w:rsidR="007D1D84" w:rsidRDefault="00DE7709" w:rsidP="007D1D84">
            <w:pPr>
              <w:pStyle w:val="ListParagraph"/>
              <w:numPr>
                <w:ilvl w:val="0"/>
                <w:numId w:val="7"/>
              </w:numPr>
            </w:pPr>
            <w:r>
              <w:t xml:space="preserve">To provide these rules (both the generic and the localized versions) in a form that supports </w:t>
            </w:r>
            <w:r w:rsidR="007D1D84" w:rsidRPr="007D1D84">
              <w:rPr>
                <w:i/>
              </w:rPr>
              <w:t>readability</w:t>
            </w:r>
            <w:r>
              <w:t xml:space="preserve"> for clinical experts. </w:t>
            </w:r>
          </w:p>
          <w:p w:rsidR="007D1D84" w:rsidRDefault="00DE7709" w:rsidP="007D1D84">
            <w:pPr>
              <w:pStyle w:val="ListParagraph"/>
              <w:numPr>
                <w:ilvl w:val="0"/>
                <w:numId w:val="7"/>
              </w:numPr>
              <w:rPr>
                <w:sz w:val="16"/>
                <w:szCs w:val="16"/>
              </w:rPr>
            </w:pPr>
            <w:r>
              <w:t>To simplify the</w:t>
            </w:r>
            <w:r w:rsidR="00463F7E">
              <w:t xml:space="preserve"> implementation </w:t>
            </w:r>
            <w:r>
              <w:t>of tools that</w:t>
            </w:r>
            <w:r w:rsidR="00463F7E">
              <w:t xml:space="preserve"> support modification of part or all of a </w:t>
            </w:r>
            <w:r w:rsidR="00463F7E">
              <w:lastRenderedPageBreak/>
              <w:t xml:space="preserve">decision support rule. </w:t>
            </w:r>
          </w:p>
          <w:p w:rsidR="007D1D84" w:rsidRDefault="00463F7E" w:rsidP="007D1D84">
            <w:pPr>
              <w:pStyle w:val="ListParagraph"/>
              <w:numPr>
                <w:ilvl w:val="0"/>
                <w:numId w:val="7"/>
              </w:numPr>
              <w:rPr>
                <w:sz w:val="16"/>
                <w:szCs w:val="16"/>
              </w:rPr>
            </w:pPr>
            <w:r>
              <w:t xml:space="preserve">To provide these capabilities in a way that embraces standards. </w:t>
            </w:r>
          </w:p>
          <w:p w:rsidR="007D1D84" w:rsidRDefault="00463F7E" w:rsidP="007D1D84">
            <w:pPr>
              <w:pStyle w:val="ListParagraph"/>
              <w:numPr>
                <w:ilvl w:val="0"/>
                <w:numId w:val="7"/>
              </w:numPr>
              <w:rPr>
                <w:sz w:val="16"/>
                <w:szCs w:val="16"/>
              </w:rPr>
            </w:pPr>
            <w:r>
              <w:t>To simplify the conversion from a readable/maintainable format to a locally implementable artifact.</w:t>
            </w:r>
          </w:p>
        </w:tc>
      </w:tr>
      <w:tr w:rsidR="00AA489E" w:rsidRPr="00AA489E" w:rsidTr="00AA489E">
        <w:tc>
          <w:tcPr>
            <w:tcW w:w="4104" w:type="dxa"/>
          </w:tcPr>
          <w:p w:rsidR="00AA489E" w:rsidRPr="00AA489E" w:rsidRDefault="00AA489E" w:rsidP="00AA489E">
            <w:pPr>
              <w:rPr>
                <w:b/>
              </w:rPr>
            </w:pPr>
            <w:r w:rsidRPr="00AA489E">
              <w:rPr>
                <w:b/>
              </w:rPr>
              <w:lastRenderedPageBreak/>
              <w:t>Primary conventions, toolkits, rules engines, data standards</w:t>
            </w:r>
          </w:p>
        </w:tc>
        <w:tc>
          <w:tcPr>
            <w:tcW w:w="4536" w:type="dxa"/>
          </w:tcPr>
          <w:p w:rsidR="00AA489E" w:rsidRPr="00AA489E" w:rsidRDefault="00AA489E" w:rsidP="00DE7709">
            <w:r>
              <w:t>DROOLS, Arden, GEM</w:t>
            </w:r>
          </w:p>
        </w:tc>
        <w:tc>
          <w:tcPr>
            <w:tcW w:w="4536" w:type="dxa"/>
          </w:tcPr>
          <w:p w:rsidR="00F27656" w:rsidRDefault="001C67AC" w:rsidP="00463F7E">
            <w:r>
              <w:t xml:space="preserve">Builds on </w:t>
            </w:r>
            <w:r w:rsidR="00F27656">
              <w:t>eRecs, Arden Syntax, ArdenML, VMR.</w:t>
            </w:r>
          </w:p>
          <w:p w:rsidR="00AA489E" w:rsidRPr="00AA489E" w:rsidRDefault="00463F7E" w:rsidP="00463F7E">
            <w:r>
              <w:t xml:space="preserve">Built to take advantage of HL7 standards and readily available tooling for XML-based documents. The system builds </w:t>
            </w:r>
            <w:r w:rsidR="006913B9">
              <w:t xml:space="preserve">on ArdenML (XML version of Arden Syntax as intermediate form for rules), </w:t>
            </w:r>
            <w:r w:rsidR="00F27656">
              <w:t xml:space="preserve">the </w:t>
            </w:r>
            <w:r w:rsidR="006913B9">
              <w:t>VMR data model, and evolving taxonomy of SSFs.  SSFs are partially based on NQF taxonomy of trigger and realization options for CDS</w:t>
            </w:r>
            <w:r w:rsidR="00F27656">
              <w:t>.  The non-localized XML version of the rule, which we refer to as a Level-2 rule, is based on work by the AHRQ-funded eRecommendations (eRec) project.  While not in ArdenML format currently, the rules produced can be converted to ArdenML.</w:t>
            </w:r>
          </w:p>
        </w:tc>
      </w:tr>
      <w:tr w:rsidR="00AA489E" w:rsidRPr="00AA489E" w:rsidTr="00EF7279">
        <w:tc>
          <w:tcPr>
            <w:tcW w:w="4104" w:type="dxa"/>
          </w:tcPr>
          <w:p w:rsidR="00AA489E" w:rsidRPr="00AA489E" w:rsidRDefault="00AA489E" w:rsidP="00DE7709">
            <w:pPr>
              <w:rPr>
                <w:b/>
              </w:rPr>
            </w:pPr>
            <w:r w:rsidRPr="00AA489E">
              <w:rPr>
                <w:b/>
              </w:rPr>
              <w:t>Active use by (vendors, agencies)</w:t>
            </w:r>
          </w:p>
        </w:tc>
        <w:tc>
          <w:tcPr>
            <w:tcW w:w="4536" w:type="dxa"/>
          </w:tcPr>
          <w:p w:rsidR="00AA489E" w:rsidRPr="00AA489E" w:rsidRDefault="00AA489E" w:rsidP="00AA489E">
            <w:r>
              <w:t>Allscripts SCM; American College of Cardiology; NQF</w:t>
            </w:r>
          </w:p>
        </w:tc>
        <w:tc>
          <w:tcPr>
            <w:tcW w:w="4536" w:type="dxa"/>
          </w:tcPr>
          <w:p w:rsidR="00AA489E" w:rsidRPr="00AA489E" w:rsidRDefault="006913B9" w:rsidP="00463F7E">
            <w:r>
              <w:t>Arden Syntax is used by some vendors.  We are proposing ArdenML as an interlingua, because it can be converted by XSL style sheets to Drools, Java, or other host forms, and to human-readable form</w:t>
            </w:r>
            <w:r w:rsidR="00463F7E">
              <w:t xml:space="preserve">. </w:t>
            </w:r>
          </w:p>
        </w:tc>
      </w:tr>
      <w:tr w:rsidR="00AA489E" w:rsidRPr="00AA489E" w:rsidTr="00A5559E">
        <w:tc>
          <w:tcPr>
            <w:tcW w:w="4104" w:type="dxa"/>
          </w:tcPr>
          <w:p w:rsidR="00AA489E" w:rsidRPr="00AA489E" w:rsidRDefault="00AA489E" w:rsidP="00AA489E">
            <w:pPr>
              <w:rPr>
                <w:b/>
              </w:rPr>
            </w:pPr>
            <w:r w:rsidRPr="00AA489E">
              <w:rPr>
                <w:b/>
              </w:rPr>
              <w:t>Number of interventions/rules built</w:t>
            </w:r>
          </w:p>
        </w:tc>
        <w:tc>
          <w:tcPr>
            <w:tcW w:w="4536" w:type="dxa"/>
            <w:shd w:val="clear" w:color="auto" w:fill="auto"/>
          </w:tcPr>
          <w:p w:rsidR="00AA489E" w:rsidRPr="00AA489E" w:rsidRDefault="00AA489E" w:rsidP="00DE7709"/>
        </w:tc>
        <w:tc>
          <w:tcPr>
            <w:tcW w:w="4536" w:type="dxa"/>
            <w:shd w:val="clear" w:color="auto" w:fill="auto"/>
          </w:tcPr>
          <w:p w:rsidR="00AA489E" w:rsidRPr="00AA489E" w:rsidRDefault="006913B9" w:rsidP="004465ED">
            <w:r>
              <w:t>Many Arden Rules exist.  Our project starts with the rules from the eRecs project in XML form – i.e., generic logic, then enables customization.</w:t>
            </w:r>
            <w:r w:rsidR="003C3E85">
              <w:t xml:space="preserve"> Various vendors (Eclipsy</w:t>
            </w:r>
            <w:r w:rsidR="00463F7E">
              <w:t xml:space="preserve">s, the Regenstrief </w:t>
            </w:r>
            <w:r w:rsidR="004465ED">
              <w:t>Institute</w:t>
            </w:r>
            <w:r w:rsidR="00463F7E">
              <w:t xml:space="preserve">, </w:t>
            </w:r>
            <w:r w:rsidR="004465ED">
              <w:t>Siemens</w:t>
            </w:r>
            <w:r w:rsidR="00463F7E">
              <w:t xml:space="preserve">, </w:t>
            </w:r>
            <w:r w:rsidR="004465ED">
              <w:t>McKesson</w:t>
            </w:r>
            <w:r w:rsidR="00463F7E">
              <w:t xml:space="preserve">, </w:t>
            </w:r>
            <w:r w:rsidR="003C3E85">
              <w:t xml:space="preserve">etc.) have proprietary rule sets. Exchange of these medical logic modules (MLMs) is hindered by the lack of a common data model. Although the curly braces provides a way around this problem in </w:t>
            </w:r>
            <w:r w:rsidR="003C3E85">
              <w:lastRenderedPageBreak/>
              <w:t>practice implementation can prove difficult,</w:t>
            </w:r>
            <w:r w:rsidR="004465ED">
              <w:t xml:space="preserve">  </w:t>
            </w:r>
            <w:r w:rsidR="004465ED">
              <w:br/>
              <w:t>An Austrian group, Medexter Healthcare has been building interesting, ICU-oriented systems in Europe. They have their own implementation of an Arden inferencing system with some interesting features.</w:t>
            </w:r>
            <w:r w:rsidR="004465ED">
              <w:rPr>
                <w:rStyle w:val="FootnoteReference"/>
              </w:rPr>
              <w:footnoteReference w:id="1"/>
            </w:r>
            <w:r w:rsidR="001C67AC">
              <w:t xml:space="preserve">  The eRecs project produced XML versions of </w:t>
            </w:r>
            <w:r w:rsidR="001C67AC">
              <w:rPr>
                <w:rFonts w:ascii="Times New Roman" w:eastAsia="Times New Roman" w:hAnsi="Times New Roman" w:cs="Times New Roman"/>
                <w:color w:val="333333"/>
                <w:sz w:val="24"/>
              </w:rPr>
              <w:t>45</w:t>
            </w:r>
            <w:r w:rsidR="001C67AC">
              <w:rPr>
                <w:rFonts w:ascii="Times New Roman" w:eastAsia="Times New Roman" w:hAnsi="Times New Roman" w:cs="Times New Roman"/>
                <w:color w:val="333333"/>
                <w:sz w:val="24"/>
              </w:rPr>
              <w:t xml:space="preserve">US Preventive Services Task Force A and B </w:t>
            </w:r>
            <w:r w:rsidR="001C67AC">
              <w:rPr>
                <w:rFonts w:ascii="Times New Roman" w:eastAsia="Times New Roman" w:hAnsi="Times New Roman" w:cs="Times New Roman"/>
                <w:color w:val="333333"/>
                <w:sz w:val="24"/>
              </w:rPr>
              <w:t xml:space="preserve"> preventive care recommendations and 12 Meaningful Use clinical performance measures</w:t>
            </w:r>
            <w:r w:rsidR="001C67AC">
              <w:rPr>
                <w:rFonts w:ascii="Times New Roman" w:eastAsia="Times New Roman" w:hAnsi="Times New Roman" w:cs="Times New Roman"/>
                <w:color w:val="333333"/>
                <w:sz w:val="24"/>
              </w:rPr>
              <w:t>, which are in the public domain (provided to AHRQ).</w:t>
            </w:r>
          </w:p>
        </w:tc>
      </w:tr>
      <w:tr w:rsidR="00AA489E" w:rsidRPr="00AA489E" w:rsidTr="00AA489E">
        <w:tc>
          <w:tcPr>
            <w:tcW w:w="4104" w:type="dxa"/>
          </w:tcPr>
          <w:p w:rsidR="00AA489E" w:rsidRPr="00AA489E" w:rsidRDefault="00AA489E" w:rsidP="00DE7709">
            <w:pPr>
              <w:rPr>
                <w:b/>
              </w:rPr>
            </w:pPr>
            <w:r w:rsidRPr="00AA489E">
              <w:rPr>
                <w:b/>
              </w:rPr>
              <w:lastRenderedPageBreak/>
              <w:t>How is it expressed?</w:t>
            </w:r>
          </w:p>
        </w:tc>
        <w:tc>
          <w:tcPr>
            <w:tcW w:w="4536" w:type="dxa"/>
          </w:tcPr>
          <w:p w:rsidR="00AA489E" w:rsidRPr="00AA489E" w:rsidRDefault="00AA489E" w:rsidP="00DE7709"/>
        </w:tc>
        <w:tc>
          <w:tcPr>
            <w:tcW w:w="4536" w:type="dxa"/>
          </w:tcPr>
          <w:p w:rsidR="00AA489E" w:rsidRPr="00AA489E" w:rsidRDefault="00AA489E" w:rsidP="00DE7709"/>
        </w:tc>
      </w:tr>
      <w:tr w:rsidR="00AA489E" w:rsidRPr="00AA489E" w:rsidTr="00AA489E">
        <w:tc>
          <w:tcPr>
            <w:tcW w:w="4104" w:type="dxa"/>
          </w:tcPr>
          <w:p w:rsidR="00AA489E" w:rsidRPr="00AA489E" w:rsidRDefault="00AA489E" w:rsidP="00DE7709">
            <w:pPr>
              <w:pStyle w:val="ListParagraph"/>
              <w:numPr>
                <w:ilvl w:val="0"/>
                <w:numId w:val="2"/>
              </w:numPr>
            </w:pPr>
            <w:r w:rsidRPr="00AA489E">
              <w:t>XML version available?</w:t>
            </w:r>
          </w:p>
        </w:tc>
        <w:tc>
          <w:tcPr>
            <w:tcW w:w="4536" w:type="dxa"/>
          </w:tcPr>
          <w:p w:rsidR="00AA489E" w:rsidRPr="00AA489E" w:rsidRDefault="00AA489E" w:rsidP="00AA489E"/>
        </w:tc>
        <w:tc>
          <w:tcPr>
            <w:tcW w:w="4536" w:type="dxa"/>
          </w:tcPr>
          <w:p w:rsidR="00AA489E" w:rsidRPr="00AA489E" w:rsidRDefault="003C3E85" w:rsidP="003C3E85">
            <w:r>
              <w:t xml:space="preserve">ArdenML is an XML representation of the Arden syntax.  eRec </w:t>
            </w:r>
            <w:r w:rsidR="006913B9">
              <w:t>rules are available in XML, but need to be harmonized with ArdenML and the VMR data model, if that is decided on.</w:t>
            </w:r>
          </w:p>
        </w:tc>
      </w:tr>
      <w:tr w:rsidR="00AA489E" w:rsidRPr="00AA489E" w:rsidTr="00AA489E">
        <w:tc>
          <w:tcPr>
            <w:tcW w:w="4104" w:type="dxa"/>
          </w:tcPr>
          <w:p w:rsidR="00AA489E" w:rsidRPr="00AA489E" w:rsidRDefault="00AA489E" w:rsidP="00DE7709">
            <w:pPr>
              <w:pStyle w:val="ListParagraph"/>
              <w:numPr>
                <w:ilvl w:val="0"/>
                <w:numId w:val="2"/>
              </w:numPr>
            </w:pPr>
            <w:r w:rsidRPr="00AA489E">
              <w:t>Pseudo-code</w:t>
            </w:r>
            <w:r>
              <w:t>?</w:t>
            </w:r>
          </w:p>
        </w:tc>
        <w:tc>
          <w:tcPr>
            <w:tcW w:w="4536" w:type="dxa"/>
          </w:tcPr>
          <w:p w:rsidR="00AA489E" w:rsidRPr="00AA489E" w:rsidRDefault="00AA489E" w:rsidP="00AA489E"/>
        </w:tc>
        <w:tc>
          <w:tcPr>
            <w:tcW w:w="4536" w:type="dxa"/>
          </w:tcPr>
          <w:p w:rsidR="00AA489E" w:rsidRPr="00AA489E" w:rsidRDefault="006913B9" w:rsidP="00AA489E">
            <w:r>
              <w:t>Arden Syntax</w:t>
            </w:r>
          </w:p>
        </w:tc>
      </w:tr>
      <w:tr w:rsidR="00AA489E" w:rsidRPr="00AA489E" w:rsidTr="00AA489E">
        <w:tc>
          <w:tcPr>
            <w:tcW w:w="4104" w:type="dxa"/>
          </w:tcPr>
          <w:p w:rsidR="00AA489E" w:rsidRPr="00AA489E" w:rsidRDefault="00AA489E" w:rsidP="00DE7709">
            <w:pPr>
              <w:pStyle w:val="ListParagraph"/>
              <w:numPr>
                <w:ilvl w:val="0"/>
                <w:numId w:val="2"/>
              </w:numPr>
            </w:pPr>
            <w:r w:rsidRPr="00AA489E">
              <w:t>Other coded format</w:t>
            </w:r>
          </w:p>
        </w:tc>
        <w:tc>
          <w:tcPr>
            <w:tcW w:w="4536" w:type="dxa"/>
          </w:tcPr>
          <w:p w:rsidR="00AA489E" w:rsidRPr="00AA489E" w:rsidRDefault="00AA489E" w:rsidP="00AA489E"/>
        </w:tc>
        <w:tc>
          <w:tcPr>
            <w:tcW w:w="4536" w:type="dxa"/>
          </w:tcPr>
          <w:p w:rsidR="00AA489E" w:rsidRPr="00AA489E" w:rsidRDefault="003C3E85" w:rsidP="00F27656">
            <w:r>
              <w:t xml:space="preserve">Research has resulted in prototype translators to Java </w:t>
            </w:r>
            <w:r w:rsidR="00F27656">
              <w:t>and</w:t>
            </w:r>
            <w:r>
              <w:t xml:space="preserve"> to forms that can run within the </w:t>
            </w:r>
            <w:r w:rsidR="00F27656">
              <w:t>Drools</w:t>
            </w:r>
            <w:r>
              <w:t xml:space="preserve"> environment. One goal behind providing a</w:t>
            </w:r>
            <w:r w:rsidR="00F27656">
              <w:t>n</w:t>
            </w:r>
            <w:r>
              <w:t xml:space="preserve"> XML representation is to simplify translation to other languages.</w:t>
            </w:r>
          </w:p>
        </w:tc>
      </w:tr>
      <w:tr w:rsidR="00AA489E" w:rsidRPr="00AA489E" w:rsidTr="00AA489E">
        <w:tc>
          <w:tcPr>
            <w:tcW w:w="4104" w:type="dxa"/>
          </w:tcPr>
          <w:p w:rsidR="00AA489E" w:rsidRPr="00AA489E" w:rsidRDefault="00AA489E" w:rsidP="00DE7709">
            <w:pPr>
              <w:pStyle w:val="ListParagraph"/>
              <w:numPr>
                <w:ilvl w:val="0"/>
                <w:numId w:val="2"/>
              </w:numPr>
            </w:pPr>
            <w:r w:rsidRPr="00AA489E">
              <w:t>Human-readable format</w:t>
            </w:r>
          </w:p>
        </w:tc>
        <w:tc>
          <w:tcPr>
            <w:tcW w:w="4536" w:type="dxa"/>
          </w:tcPr>
          <w:p w:rsidR="00AA489E" w:rsidRPr="00AA489E" w:rsidRDefault="00AA489E" w:rsidP="00AA489E"/>
        </w:tc>
        <w:tc>
          <w:tcPr>
            <w:tcW w:w="4536" w:type="dxa"/>
          </w:tcPr>
          <w:p w:rsidR="00AA489E" w:rsidRPr="00AA489E" w:rsidRDefault="004465ED" w:rsidP="00AA489E">
            <w:r>
              <w:t xml:space="preserve">Is generated </w:t>
            </w:r>
            <w:r w:rsidR="006913B9">
              <w:t>by</w:t>
            </w:r>
            <w:r>
              <w:t xml:space="preserve"> an</w:t>
            </w:r>
            <w:r w:rsidR="006913B9">
              <w:t xml:space="preserve"> XSL style sheet</w:t>
            </w:r>
            <w:r>
              <w:t>.</w:t>
            </w:r>
          </w:p>
        </w:tc>
      </w:tr>
      <w:tr w:rsidR="00AA489E" w:rsidRPr="00AA489E" w:rsidTr="00EF7279">
        <w:tc>
          <w:tcPr>
            <w:tcW w:w="4104" w:type="dxa"/>
          </w:tcPr>
          <w:p w:rsidR="00AA489E" w:rsidRPr="00AA489E" w:rsidRDefault="00AA489E" w:rsidP="00AA489E">
            <w:pPr>
              <w:pStyle w:val="ListParagraph"/>
              <w:numPr>
                <w:ilvl w:val="0"/>
                <w:numId w:val="2"/>
              </w:numPr>
            </w:pPr>
            <w:r>
              <w:t>Other (describe)</w:t>
            </w:r>
          </w:p>
        </w:tc>
        <w:tc>
          <w:tcPr>
            <w:tcW w:w="4536" w:type="dxa"/>
          </w:tcPr>
          <w:p w:rsidR="00AA489E" w:rsidRPr="00AA489E" w:rsidRDefault="00AA489E" w:rsidP="00DE7709"/>
        </w:tc>
        <w:tc>
          <w:tcPr>
            <w:tcW w:w="4536" w:type="dxa"/>
            <w:tcBorders>
              <w:bottom w:val="single" w:sz="4" w:space="0" w:color="auto"/>
            </w:tcBorders>
          </w:tcPr>
          <w:p w:rsidR="00AA489E" w:rsidRPr="00AA489E" w:rsidRDefault="00AA489E" w:rsidP="00DE7709"/>
        </w:tc>
      </w:tr>
      <w:tr w:rsidR="00AA489E" w:rsidRPr="00AA489E" w:rsidTr="00EF7279">
        <w:tc>
          <w:tcPr>
            <w:tcW w:w="4104" w:type="dxa"/>
          </w:tcPr>
          <w:p w:rsidR="00AA489E" w:rsidRPr="00AA489E" w:rsidRDefault="00AA489E" w:rsidP="00DE7709">
            <w:pPr>
              <w:rPr>
                <w:b/>
              </w:rPr>
            </w:pPr>
            <w:r w:rsidRPr="00AA489E">
              <w:rPr>
                <w:b/>
              </w:rPr>
              <w:t>CDS Process Steps that are expressed in your model</w:t>
            </w:r>
          </w:p>
        </w:tc>
        <w:tc>
          <w:tcPr>
            <w:tcW w:w="4536" w:type="dxa"/>
            <w:shd w:val="clear" w:color="auto" w:fill="FFFFFF" w:themeFill="background1"/>
          </w:tcPr>
          <w:p w:rsidR="00AA489E" w:rsidRPr="00847760" w:rsidRDefault="00847760" w:rsidP="00DE7709">
            <w:pPr>
              <w:rPr>
                <w:i/>
              </w:rPr>
            </w:pPr>
            <w:r w:rsidRPr="00847760">
              <w:rPr>
                <w:i/>
              </w:rPr>
              <w:t>(Only fill in information for the steps that your model directly supports)</w:t>
            </w:r>
          </w:p>
        </w:tc>
        <w:tc>
          <w:tcPr>
            <w:tcW w:w="4536" w:type="dxa"/>
            <w:shd w:val="clear" w:color="auto" w:fill="auto"/>
          </w:tcPr>
          <w:p w:rsidR="00AA489E" w:rsidRPr="00AA489E" w:rsidRDefault="00AA489E" w:rsidP="00DE7709"/>
        </w:tc>
      </w:tr>
      <w:tr w:rsidR="00AA489E" w:rsidRPr="00AA489E" w:rsidTr="00AA489E">
        <w:tc>
          <w:tcPr>
            <w:tcW w:w="4104" w:type="dxa"/>
          </w:tcPr>
          <w:p w:rsidR="00AA489E" w:rsidRPr="00AA489E" w:rsidRDefault="00AA489E" w:rsidP="00DE7709">
            <w:pPr>
              <w:pStyle w:val="ListParagraph"/>
              <w:ind w:left="0"/>
            </w:pPr>
            <w:r w:rsidRPr="00AA489E">
              <w:t>-</w:t>
            </w:r>
            <w:r w:rsidRPr="00AA489E">
              <w:tab/>
              <w:t>Triggering</w:t>
            </w:r>
          </w:p>
        </w:tc>
        <w:tc>
          <w:tcPr>
            <w:tcW w:w="4536" w:type="dxa"/>
          </w:tcPr>
          <w:p w:rsidR="00AA489E" w:rsidRPr="00AA489E" w:rsidRDefault="00AA489E" w:rsidP="007B3B2F">
            <w:pPr>
              <w:pStyle w:val="ListParagraph"/>
              <w:ind w:left="0"/>
            </w:pPr>
            <w:r>
              <w:t xml:space="preserve">Event, data filing, absolute time, relative time since event, manual, other. State which of these </w:t>
            </w:r>
            <w:r>
              <w:lastRenderedPageBreak/>
              <w:t xml:space="preserve">are supported and describe </w:t>
            </w:r>
          </w:p>
        </w:tc>
        <w:tc>
          <w:tcPr>
            <w:tcW w:w="4536" w:type="dxa"/>
          </w:tcPr>
          <w:p w:rsidR="00AA489E" w:rsidRPr="00AA489E" w:rsidRDefault="004465ED" w:rsidP="00307835">
            <w:pPr>
              <w:pStyle w:val="ListParagraph"/>
              <w:ind w:left="0"/>
            </w:pPr>
            <w:r>
              <w:lastRenderedPageBreak/>
              <w:t>Arden syntax can respond to events, data storage, and various expressions of time.</w:t>
            </w:r>
            <w:r w:rsidR="00307835">
              <w:rPr>
                <w:rStyle w:val="FootnoteReference"/>
              </w:rPr>
              <w:footnoteReference w:id="2"/>
            </w:r>
            <w:r w:rsidR="00307835">
              <w:t xml:space="preserve"> In the </w:t>
            </w:r>
            <w:r w:rsidR="00307835">
              <w:lastRenderedPageBreak/>
              <w:t xml:space="preserve">SSF project, each </w:t>
            </w:r>
            <w:r w:rsidR="006913B9">
              <w:t>of these</w:t>
            </w:r>
            <w:r w:rsidR="00307835">
              <w:t xml:space="preserve"> can</w:t>
            </w:r>
            <w:r w:rsidR="006913B9">
              <w:t xml:space="preserve"> have SSF template.  Not all are complete.</w:t>
            </w:r>
          </w:p>
        </w:tc>
      </w:tr>
      <w:tr w:rsidR="00AA489E" w:rsidRPr="00AA489E" w:rsidTr="00AA489E">
        <w:tc>
          <w:tcPr>
            <w:tcW w:w="4104" w:type="dxa"/>
          </w:tcPr>
          <w:p w:rsidR="00AA489E" w:rsidRPr="00AA489E" w:rsidRDefault="00AA489E" w:rsidP="00AA489E">
            <w:pPr>
              <w:pStyle w:val="ListParagraph"/>
              <w:ind w:left="0"/>
            </w:pPr>
            <w:r w:rsidRPr="00AA489E">
              <w:lastRenderedPageBreak/>
              <w:t>-</w:t>
            </w:r>
            <w:r w:rsidRPr="00AA489E">
              <w:rPr>
                <w:rFonts w:ascii="Times New Roman" w:hAnsi="Times New Roman" w:cs="Times New Roman"/>
                <w:sz w:val="14"/>
                <w:szCs w:val="14"/>
              </w:rPr>
              <w:tab/>
            </w:r>
            <w:r w:rsidRPr="00AA489E">
              <w:t>Logic</w:t>
            </w:r>
          </w:p>
        </w:tc>
        <w:tc>
          <w:tcPr>
            <w:tcW w:w="4536" w:type="dxa"/>
          </w:tcPr>
          <w:p w:rsidR="00AA489E" w:rsidRPr="00AA489E" w:rsidRDefault="00AA489E" w:rsidP="00DE7709">
            <w:pPr>
              <w:pStyle w:val="ListParagraph"/>
              <w:ind w:left="0"/>
            </w:pPr>
            <w:r>
              <w:t>Calculations necessary to guide whether, and how, information is to be presented or filed or actions taken</w:t>
            </w:r>
            <w:r w:rsidR="007B3B2F">
              <w:t>. Describe method</w:t>
            </w:r>
          </w:p>
        </w:tc>
        <w:tc>
          <w:tcPr>
            <w:tcW w:w="4536" w:type="dxa"/>
          </w:tcPr>
          <w:p w:rsidR="00AA489E" w:rsidRPr="00AA489E" w:rsidRDefault="00307835" w:rsidP="00FB6D92">
            <w:pPr>
              <w:pStyle w:val="ListParagraph"/>
              <w:ind w:left="0"/>
            </w:pPr>
            <w:r>
              <w:t xml:space="preserve">Arden syntax has more than 140 operators. They include </w:t>
            </w:r>
            <w:r w:rsidR="006913B9">
              <w:t xml:space="preserve">temporal comparison functions </w:t>
            </w:r>
            <w:r>
              <w:t>and a variety of list management operations. Typical</w:t>
            </w:r>
            <w:r w:rsidR="00FB6D92">
              <w:t xml:space="preserve"> mathematical operations are provided.</w:t>
            </w:r>
          </w:p>
        </w:tc>
      </w:tr>
      <w:tr w:rsidR="00AA489E" w:rsidRPr="00AA489E" w:rsidTr="00AA489E">
        <w:tc>
          <w:tcPr>
            <w:tcW w:w="4104" w:type="dxa"/>
          </w:tcPr>
          <w:p w:rsidR="00AA489E" w:rsidRPr="00AA489E" w:rsidRDefault="00AA489E" w:rsidP="00AA489E">
            <w:pPr>
              <w:pStyle w:val="ListParagraph"/>
              <w:ind w:left="0"/>
            </w:pPr>
            <w:r w:rsidRPr="00AA489E">
              <w:t>-</w:t>
            </w:r>
            <w:r w:rsidRPr="00AA489E">
              <w:rPr>
                <w:rFonts w:ascii="Times New Roman" w:hAnsi="Times New Roman" w:cs="Times New Roman"/>
                <w:sz w:val="14"/>
                <w:szCs w:val="14"/>
              </w:rPr>
              <w:tab/>
            </w:r>
            <w:r w:rsidRPr="00AA489E">
              <w:t>Access to Input Data</w:t>
            </w:r>
          </w:p>
        </w:tc>
        <w:tc>
          <w:tcPr>
            <w:tcW w:w="4536" w:type="dxa"/>
          </w:tcPr>
          <w:p w:rsidR="00AA489E" w:rsidRPr="00AA489E" w:rsidRDefault="007B3B2F" w:rsidP="007B3B2F">
            <w:pPr>
              <w:pStyle w:val="ListParagraph"/>
              <w:ind w:left="0"/>
            </w:pPr>
            <w:r>
              <w:t>How input data is accepted, whether generic or installation-specific</w:t>
            </w:r>
          </w:p>
        </w:tc>
        <w:tc>
          <w:tcPr>
            <w:tcW w:w="4536" w:type="dxa"/>
          </w:tcPr>
          <w:p w:rsidR="00AA489E" w:rsidRDefault="00FB6D92" w:rsidP="00FB6D92">
            <w:pPr>
              <w:pStyle w:val="ListParagraph"/>
              <w:ind w:left="0"/>
            </w:pPr>
            <w:r>
              <w:t xml:space="preserve">Arden syntax deals with data through the "data slot" and the curly braces. In our SSF implementation, input </w:t>
            </w:r>
            <w:r w:rsidR="006913B9">
              <w:t>data are not directly</w:t>
            </w:r>
            <w:r w:rsidR="00417FDC">
              <w:t xml:space="preserve"> entered</w:t>
            </w:r>
            <w:r>
              <w:t xml:space="preserve"> into </w:t>
            </w:r>
            <w:r w:rsidR="00417FDC">
              <w:t>the logic module.  The elements needed are defined in the data section, and referenced in terms of the VMR model.  An execution engine running the logic would be responsible for actually obtaining the data.</w:t>
            </w:r>
          </w:p>
          <w:p w:rsidR="00A5559E" w:rsidRDefault="00A5559E" w:rsidP="00FB6D92">
            <w:pPr>
              <w:pStyle w:val="ListParagraph"/>
              <w:ind w:left="0"/>
            </w:pPr>
          </w:p>
          <w:p w:rsidR="00A5559E" w:rsidRPr="00AA489E" w:rsidRDefault="00A5559E" w:rsidP="00A5559E">
            <w:pPr>
              <w:pStyle w:val="CommentText"/>
            </w:pPr>
            <w:r>
              <w:t xml:space="preserve">In principle, the execution engine can be programmed so that (1) the data section of the MLM specifies the necessary data elements, and the module invoking the MLM supplies that data. In HL7 CDS services, the data are passed in by the invoking module. </w:t>
            </w:r>
          </w:p>
        </w:tc>
      </w:tr>
      <w:tr w:rsidR="007B3B2F" w:rsidRPr="00AA489E" w:rsidTr="00AA489E">
        <w:tc>
          <w:tcPr>
            <w:tcW w:w="4104" w:type="dxa"/>
          </w:tcPr>
          <w:p w:rsidR="007B3B2F" w:rsidRPr="00AA489E" w:rsidRDefault="007B3B2F" w:rsidP="007B3B2F">
            <w:pPr>
              <w:pStyle w:val="ListParagraph"/>
              <w:numPr>
                <w:ilvl w:val="0"/>
                <w:numId w:val="2"/>
              </w:numPr>
            </w:pPr>
            <w:r>
              <w:t>Classes of data supported</w:t>
            </w:r>
          </w:p>
        </w:tc>
        <w:tc>
          <w:tcPr>
            <w:tcW w:w="4536" w:type="dxa"/>
          </w:tcPr>
          <w:p w:rsidR="007B3B2F" w:rsidRPr="00AA489E" w:rsidRDefault="007B3B2F" w:rsidP="00DE7709">
            <w:pPr>
              <w:pStyle w:val="ListParagraph"/>
              <w:ind w:left="0"/>
            </w:pPr>
            <w:r>
              <w:t>Lab tests, physical findings, diagnoses, procedures, text, orders, etc. (which standards)?</w:t>
            </w:r>
          </w:p>
        </w:tc>
        <w:tc>
          <w:tcPr>
            <w:tcW w:w="4536" w:type="dxa"/>
          </w:tcPr>
          <w:p w:rsidR="007B3B2F" w:rsidRPr="00AA489E" w:rsidRDefault="00FB6D92" w:rsidP="00DE7709">
            <w:pPr>
              <w:pStyle w:val="ListParagraph"/>
              <w:ind w:left="0"/>
            </w:pPr>
            <w:r>
              <w:t xml:space="preserve">Arden supports any data defined in the data slot. </w:t>
            </w:r>
            <w:r w:rsidR="00417FDC">
              <w:t>All of these</w:t>
            </w:r>
            <w:r>
              <w:t xml:space="preserve"> data types can be provided</w:t>
            </w:r>
            <w:r w:rsidR="00417FDC">
              <w:t xml:space="preserve"> via VMR model</w:t>
            </w:r>
            <w:r>
              <w:t>.</w:t>
            </w:r>
          </w:p>
        </w:tc>
      </w:tr>
      <w:tr w:rsidR="00AA489E" w:rsidRPr="00AA489E" w:rsidTr="00AA489E">
        <w:tc>
          <w:tcPr>
            <w:tcW w:w="4104" w:type="dxa"/>
          </w:tcPr>
          <w:p w:rsidR="00AA489E" w:rsidRPr="00AA489E" w:rsidRDefault="00AA489E" w:rsidP="007B3B2F">
            <w:pPr>
              <w:pStyle w:val="ListParagraph"/>
              <w:ind w:left="0"/>
            </w:pPr>
            <w:r w:rsidRPr="00AA489E">
              <w:t>-</w:t>
            </w:r>
            <w:r w:rsidRPr="00AA489E">
              <w:rPr>
                <w:rFonts w:ascii="Times New Roman" w:hAnsi="Times New Roman" w:cs="Times New Roman"/>
                <w:sz w:val="14"/>
                <w:szCs w:val="14"/>
              </w:rPr>
              <w:tab/>
            </w:r>
            <w:r w:rsidR="007B3B2F">
              <w:t>Use of</w:t>
            </w:r>
            <w:r w:rsidRPr="00AA489E">
              <w:t xml:space="preserve"> Value sets</w:t>
            </w:r>
          </w:p>
        </w:tc>
        <w:tc>
          <w:tcPr>
            <w:tcW w:w="4536" w:type="dxa"/>
          </w:tcPr>
          <w:p w:rsidR="00AA489E" w:rsidRPr="00AA489E" w:rsidRDefault="007B3B2F" w:rsidP="00DE7709">
            <w:pPr>
              <w:pStyle w:val="ListParagraph"/>
              <w:ind w:left="0"/>
            </w:pPr>
            <w:r>
              <w:t>How these are defined, used</w:t>
            </w:r>
          </w:p>
        </w:tc>
        <w:tc>
          <w:tcPr>
            <w:tcW w:w="4536" w:type="dxa"/>
          </w:tcPr>
          <w:p w:rsidR="00AA489E" w:rsidRPr="00AA489E" w:rsidRDefault="00A5559E" w:rsidP="00A5559E">
            <w:pPr>
              <w:pStyle w:val="ListParagraph"/>
              <w:ind w:left="0"/>
            </w:pPr>
            <w:r>
              <w:t xml:space="preserve">Our model uses </w:t>
            </w:r>
            <w:r>
              <w:t xml:space="preserve">(1) </w:t>
            </w:r>
            <w:r>
              <w:t>a</w:t>
            </w:r>
            <w:r>
              <w:t xml:space="preserve">ny </w:t>
            </w:r>
            <w:r>
              <w:t xml:space="preserve">value sets </w:t>
            </w:r>
            <w:r>
              <w:t xml:space="preserve">as specified in </w:t>
            </w:r>
            <w:r>
              <w:lastRenderedPageBreak/>
              <w:t xml:space="preserve">the </w:t>
            </w:r>
            <w:r>
              <w:t>VMR model</w:t>
            </w:r>
            <w:r>
              <w:t xml:space="preserve"> , (2) and a</w:t>
            </w:r>
            <w:r>
              <w:t xml:space="preserve">s specified in </w:t>
            </w:r>
            <w:r>
              <w:t xml:space="preserve">the </w:t>
            </w:r>
            <w:r>
              <w:t>SSF ontology</w:t>
            </w:r>
            <w:r>
              <w:t xml:space="preserve">. </w:t>
            </w:r>
            <w:r w:rsidR="00FB6D92">
              <w:t xml:space="preserve">Value sets can be managed entirely in the data slot </w:t>
            </w:r>
            <w:r>
              <w:t>and</w:t>
            </w:r>
            <w:r w:rsidR="00FB6D92">
              <w:t xml:space="preserve"> referenced there </w:t>
            </w:r>
            <w:r>
              <w:t>by</w:t>
            </w:r>
            <w:r w:rsidR="00FB6D92">
              <w:t xml:space="preserve"> the logic. </w:t>
            </w:r>
          </w:p>
        </w:tc>
      </w:tr>
      <w:tr w:rsidR="00AA489E" w:rsidRPr="00AA489E" w:rsidTr="00AA489E">
        <w:tc>
          <w:tcPr>
            <w:tcW w:w="4104" w:type="dxa"/>
          </w:tcPr>
          <w:p w:rsidR="00AA489E" w:rsidRPr="00AA489E" w:rsidRDefault="00AA489E" w:rsidP="00DE7709">
            <w:pPr>
              <w:pStyle w:val="ListParagraph"/>
              <w:ind w:left="0"/>
            </w:pPr>
            <w:r w:rsidRPr="00AA489E">
              <w:lastRenderedPageBreak/>
              <w:t>-</w:t>
            </w:r>
            <w:r w:rsidRPr="00AA489E">
              <w:rPr>
                <w:rFonts w:ascii="Times New Roman" w:hAnsi="Times New Roman" w:cs="Times New Roman"/>
                <w:sz w:val="14"/>
                <w:szCs w:val="14"/>
              </w:rPr>
              <w:tab/>
            </w:r>
            <w:r w:rsidRPr="00AA489E">
              <w:t>Notification and acknowledgement, if any</w:t>
            </w:r>
          </w:p>
        </w:tc>
        <w:tc>
          <w:tcPr>
            <w:tcW w:w="4536" w:type="dxa"/>
          </w:tcPr>
          <w:p w:rsidR="00AA489E" w:rsidRPr="00AA489E" w:rsidRDefault="007B3B2F" w:rsidP="00DE7709">
            <w:pPr>
              <w:pStyle w:val="ListParagraph"/>
              <w:ind w:left="0"/>
            </w:pPr>
            <w:r>
              <w:t>Is notification supported (e.g., sending messages, email, status display)</w:t>
            </w:r>
          </w:p>
        </w:tc>
        <w:tc>
          <w:tcPr>
            <w:tcW w:w="4536" w:type="dxa"/>
          </w:tcPr>
          <w:p w:rsidR="00AA489E" w:rsidRPr="00AA489E" w:rsidRDefault="00FB6D92" w:rsidP="00FB6D92">
            <w:pPr>
              <w:pStyle w:val="ListParagraph"/>
              <w:ind w:left="0"/>
            </w:pPr>
            <w:r>
              <w:t>Arden syntax is designed to support notification through services provided by the EHR. In the SSF project, we intend to support a t</w:t>
            </w:r>
            <w:r w:rsidR="00417FDC">
              <w:t>axonomy of actions, with templates for each type.  Not all are complete.</w:t>
            </w:r>
          </w:p>
        </w:tc>
      </w:tr>
      <w:tr w:rsidR="00AA489E" w:rsidRPr="00AA489E" w:rsidTr="00AA489E">
        <w:tc>
          <w:tcPr>
            <w:tcW w:w="4104" w:type="dxa"/>
          </w:tcPr>
          <w:p w:rsidR="00AA489E" w:rsidRPr="00AA489E" w:rsidRDefault="00AA489E" w:rsidP="007B3B2F">
            <w:pPr>
              <w:pStyle w:val="ListParagraph"/>
              <w:numPr>
                <w:ilvl w:val="0"/>
                <w:numId w:val="2"/>
              </w:numPr>
            </w:pPr>
            <w:r w:rsidRPr="00AA489E">
              <w:t xml:space="preserve">Intervention </w:t>
            </w:r>
          </w:p>
        </w:tc>
        <w:tc>
          <w:tcPr>
            <w:tcW w:w="4536" w:type="dxa"/>
          </w:tcPr>
          <w:p w:rsidR="00AA489E" w:rsidRPr="00AA489E" w:rsidRDefault="007B3B2F" w:rsidP="007B3B2F">
            <w:r>
              <w:t xml:space="preserve">Intervention </w:t>
            </w:r>
            <w:r w:rsidRPr="00AA489E">
              <w:t xml:space="preserve">types </w:t>
            </w:r>
            <w:r>
              <w:t xml:space="preserve">directly </w:t>
            </w:r>
            <w:r w:rsidRPr="00AA489E">
              <w:t>supported (i.e., you specify the core elements – for an alert, this might be an informational message, presentation of some data, and offered actions)</w:t>
            </w:r>
            <w:r>
              <w:t>.  Specify which types.</w:t>
            </w:r>
            <w:r w:rsidR="00A72FAD">
              <w:t xml:space="preserve"> See below for list.</w:t>
            </w:r>
          </w:p>
        </w:tc>
        <w:tc>
          <w:tcPr>
            <w:tcW w:w="4536" w:type="dxa"/>
          </w:tcPr>
          <w:p w:rsidR="00AA489E" w:rsidRPr="00AA489E" w:rsidRDefault="00FB6D92" w:rsidP="009E5406">
            <w:r>
              <w:t xml:space="preserve">Syntax is available in Arden to support a variety of interventions as provided through services in the EHR. </w:t>
            </w:r>
            <w:r w:rsidR="00A5559E">
              <w:t xml:space="preserve"> </w:t>
            </w:r>
            <w:r w:rsidR="00A5559E">
              <w:t>Current intervention types includes: textual messages, and choice of Acknowledge, Document, Educate, Order, Prescribe, and Refer</w:t>
            </w:r>
            <w:r w:rsidR="00A5559E" w:rsidDel="009E5406">
              <w:t xml:space="preserve"> </w:t>
            </w:r>
          </w:p>
        </w:tc>
      </w:tr>
      <w:tr w:rsidR="007B3B2F" w:rsidRPr="00AA489E" w:rsidTr="00AA489E">
        <w:tc>
          <w:tcPr>
            <w:tcW w:w="4104" w:type="dxa"/>
          </w:tcPr>
          <w:p w:rsidR="007B3B2F" w:rsidRPr="00AA489E" w:rsidRDefault="007B3B2F" w:rsidP="00A72FAD">
            <w:pPr>
              <w:pStyle w:val="ListParagraph"/>
              <w:numPr>
                <w:ilvl w:val="1"/>
                <w:numId w:val="2"/>
              </w:numPr>
            </w:pPr>
            <w:r>
              <w:t>(Describe one type)</w:t>
            </w:r>
          </w:p>
        </w:tc>
        <w:tc>
          <w:tcPr>
            <w:tcW w:w="4536" w:type="dxa"/>
          </w:tcPr>
          <w:p w:rsidR="007B3B2F" w:rsidRDefault="00A72FAD" w:rsidP="00A72FAD">
            <w:r>
              <w:t>Describe core elements in one supported intervention type and how they are represented</w:t>
            </w:r>
          </w:p>
        </w:tc>
        <w:tc>
          <w:tcPr>
            <w:tcW w:w="4536" w:type="dxa"/>
          </w:tcPr>
          <w:p w:rsidR="007B3B2F" w:rsidRPr="00AA489E" w:rsidRDefault="009E5406" w:rsidP="00DE7709">
            <w:r>
              <w:t>Generally, a combination of defined destinations (e-mail, alert queue, EHR-Datastore, pager, etc.) can be referenced by defining destinations in the data slot and messaging to those destinations in the action slot.</w:t>
            </w:r>
          </w:p>
        </w:tc>
      </w:tr>
      <w:tr w:rsidR="007B3B2F" w:rsidRPr="00AA489E" w:rsidTr="00AA489E">
        <w:tc>
          <w:tcPr>
            <w:tcW w:w="4104" w:type="dxa"/>
          </w:tcPr>
          <w:p w:rsidR="007B3B2F" w:rsidRPr="00AA489E" w:rsidRDefault="007B3B2F" w:rsidP="00A72FAD">
            <w:pPr>
              <w:pStyle w:val="ListParagraph"/>
              <w:numPr>
                <w:ilvl w:val="1"/>
                <w:numId w:val="2"/>
              </w:numPr>
            </w:pPr>
            <w:r>
              <w:t>(Describe one type)</w:t>
            </w:r>
          </w:p>
        </w:tc>
        <w:tc>
          <w:tcPr>
            <w:tcW w:w="4536" w:type="dxa"/>
          </w:tcPr>
          <w:p w:rsidR="007B3B2F" w:rsidRDefault="007B3B2F" w:rsidP="007B3B2F"/>
        </w:tc>
        <w:tc>
          <w:tcPr>
            <w:tcW w:w="4536" w:type="dxa"/>
          </w:tcPr>
          <w:p w:rsidR="00A5559E" w:rsidRDefault="00A5559E" w:rsidP="00A5559E">
            <w:r>
              <w:t>Prescribe template:</w:t>
            </w:r>
          </w:p>
          <w:p w:rsidR="00A5559E" w:rsidRDefault="00A5559E" w:rsidP="00A5559E">
            <w:r>
              <w:t xml:space="preserve">   PrescribeType e.g., Display Form</w:t>
            </w:r>
          </w:p>
          <w:p w:rsidR="00A5559E" w:rsidRDefault="00A5559E" w:rsidP="00A5559E">
            <w:r>
              <w:t xml:space="preserve">  Form e.g., Prescription Form</w:t>
            </w:r>
          </w:p>
          <w:p w:rsidR="00A5559E" w:rsidRDefault="00A5559E" w:rsidP="00A5559E">
            <w:r>
              <w:t xml:space="preserve">  Prescription: e.g., start metformin po</w:t>
            </w:r>
          </w:p>
          <w:p w:rsidR="00A5559E" w:rsidRDefault="00A5559E" w:rsidP="00A5559E">
            <w:r>
              <w:t xml:space="preserve">  Method: e.g., Send to pharmacy</w:t>
            </w:r>
          </w:p>
          <w:p w:rsidR="007B3B2F" w:rsidRPr="00AA489E" w:rsidRDefault="00A5559E" w:rsidP="00A5559E">
            <w:r>
              <w:t xml:space="preserve">  RequireCompletion: Boolean  </w:t>
            </w:r>
          </w:p>
        </w:tc>
      </w:tr>
      <w:tr w:rsidR="007B3B2F" w:rsidRPr="00AA489E" w:rsidTr="00AA489E">
        <w:tc>
          <w:tcPr>
            <w:tcW w:w="4104" w:type="dxa"/>
          </w:tcPr>
          <w:p w:rsidR="007B3B2F" w:rsidRPr="00AA489E" w:rsidRDefault="007B3B2F" w:rsidP="00A72FAD">
            <w:pPr>
              <w:pStyle w:val="ListParagraph"/>
              <w:numPr>
                <w:ilvl w:val="1"/>
                <w:numId w:val="2"/>
              </w:numPr>
            </w:pPr>
            <w:r>
              <w:t>(Describe one type)</w:t>
            </w:r>
          </w:p>
        </w:tc>
        <w:tc>
          <w:tcPr>
            <w:tcW w:w="4536" w:type="dxa"/>
          </w:tcPr>
          <w:p w:rsidR="007B3B2F" w:rsidRDefault="007B3B2F" w:rsidP="007B3B2F"/>
        </w:tc>
        <w:tc>
          <w:tcPr>
            <w:tcW w:w="4536" w:type="dxa"/>
          </w:tcPr>
          <w:p w:rsidR="00A5559E" w:rsidRDefault="00A5559E" w:rsidP="00A5559E">
            <w:r>
              <w:t>Refer:</w:t>
            </w:r>
          </w:p>
          <w:p w:rsidR="00A5559E" w:rsidRDefault="00A5559E" w:rsidP="00A5559E">
            <w:r>
              <w:t xml:space="preserve">   ReferType: e.g., PrintReferalForm</w:t>
            </w:r>
          </w:p>
          <w:p w:rsidR="007B3B2F" w:rsidRPr="00AA489E" w:rsidRDefault="00A5559E" w:rsidP="00A5559E">
            <w:r>
              <w:t xml:space="preserve">  ReferTo: e.g., Nutritionist</w:t>
            </w:r>
            <w:r w:rsidRPr="00AA489E">
              <w:t xml:space="preserve"> </w:t>
            </w:r>
          </w:p>
        </w:tc>
      </w:tr>
      <w:tr w:rsidR="00A5559E" w:rsidRPr="00AA489E" w:rsidTr="00AA489E">
        <w:tc>
          <w:tcPr>
            <w:tcW w:w="4104" w:type="dxa"/>
          </w:tcPr>
          <w:p w:rsidR="00A5559E" w:rsidRPr="00AA489E" w:rsidRDefault="00A5559E" w:rsidP="00DE7709">
            <w:pPr>
              <w:pStyle w:val="ListParagraph"/>
              <w:ind w:left="0"/>
            </w:pPr>
          </w:p>
        </w:tc>
        <w:tc>
          <w:tcPr>
            <w:tcW w:w="4536" w:type="dxa"/>
          </w:tcPr>
          <w:p w:rsidR="00A5559E" w:rsidRDefault="00A5559E" w:rsidP="007B3B2F">
            <w:pPr>
              <w:pStyle w:val="ListParagraph"/>
              <w:ind w:left="0"/>
            </w:pPr>
          </w:p>
        </w:tc>
        <w:tc>
          <w:tcPr>
            <w:tcW w:w="4536" w:type="dxa"/>
          </w:tcPr>
          <w:p w:rsidR="00A5559E" w:rsidRDefault="00A5559E" w:rsidP="0034115A">
            <w:pPr>
              <w:pStyle w:val="ListParagraph"/>
              <w:ind w:left="0"/>
            </w:pPr>
          </w:p>
        </w:tc>
      </w:tr>
      <w:tr w:rsidR="007B3B2F" w:rsidRPr="00AA489E" w:rsidTr="00AA489E">
        <w:tc>
          <w:tcPr>
            <w:tcW w:w="4104" w:type="dxa"/>
          </w:tcPr>
          <w:p w:rsidR="007B3B2F" w:rsidRPr="00AA489E" w:rsidRDefault="007B3B2F" w:rsidP="00DE7709">
            <w:pPr>
              <w:pStyle w:val="ListParagraph"/>
              <w:ind w:left="0"/>
            </w:pPr>
            <w:r w:rsidRPr="00AA489E">
              <w:t>-</w:t>
            </w:r>
            <w:r w:rsidRPr="00AA489E">
              <w:rPr>
                <w:rFonts w:ascii="Times New Roman" w:hAnsi="Times New Roman" w:cs="Times New Roman"/>
                <w:sz w:val="14"/>
                <w:szCs w:val="14"/>
              </w:rPr>
              <w:tab/>
            </w:r>
            <w:r w:rsidRPr="00AA489E">
              <w:t>Offered user actions</w:t>
            </w:r>
          </w:p>
        </w:tc>
        <w:tc>
          <w:tcPr>
            <w:tcW w:w="4536" w:type="dxa"/>
          </w:tcPr>
          <w:p w:rsidR="007B3B2F" w:rsidRPr="00AA489E" w:rsidRDefault="007B3B2F" w:rsidP="007B3B2F">
            <w:pPr>
              <w:pStyle w:val="ListParagraph"/>
              <w:ind w:left="0"/>
            </w:pPr>
            <w:r>
              <w:t xml:space="preserve">Actions the user can take are directly supported, such as documentation, adding/deleting an order, posting acknowledgement, documenting exceptions.  Specify which </w:t>
            </w:r>
            <w:r w:rsidR="00A72FAD">
              <w:t>kinds</w:t>
            </w:r>
          </w:p>
        </w:tc>
        <w:tc>
          <w:tcPr>
            <w:tcW w:w="4536" w:type="dxa"/>
          </w:tcPr>
          <w:p w:rsidR="00A5559E" w:rsidRDefault="00A5559E" w:rsidP="00A5559E">
            <w:pPr>
              <w:pStyle w:val="CommentText"/>
            </w:pPr>
            <w:r>
              <w:t xml:space="preserve">We provide templates for user actions, but actual implementation will depend on </w:t>
            </w:r>
            <w:r>
              <w:t>the host system execution engine</w:t>
            </w:r>
            <w:r>
              <w:t>.</w:t>
            </w:r>
          </w:p>
          <w:p w:rsidR="007B3B2F" w:rsidRPr="00AA489E" w:rsidRDefault="0034115A" w:rsidP="00A5559E">
            <w:pPr>
              <w:pStyle w:val="CommentText"/>
            </w:pPr>
            <w:r>
              <w:t xml:space="preserve">Arden syntax provides an inferencing environment. It expects services in the EHR </w:t>
            </w:r>
            <w:r>
              <w:lastRenderedPageBreak/>
              <w:t xml:space="preserve">to provide the interactions with the users. Syntax is provided to invoke a variety of different services. As standard services become available in EHRs, we should be able to configure Arden to use these without significant change. </w:t>
            </w:r>
          </w:p>
        </w:tc>
      </w:tr>
    </w:tbl>
    <w:p w:rsidR="007B3B2F" w:rsidRDefault="007B3B2F"/>
    <w:p w:rsidR="00A72FAD" w:rsidRPr="00AA489E" w:rsidRDefault="00A72FAD" w:rsidP="00DE7709">
      <w:pPr>
        <w:pStyle w:val="ListParagraph"/>
        <w:tabs>
          <w:tab w:val="left" w:pos="4104"/>
          <w:tab w:val="left" w:pos="8640"/>
        </w:tabs>
        <w:ind w:left="0"/>
      </w:pPr>
      <w:r>
        <w:t>Standard list of intervention types</w:t>
      </w:r>
      <w:r w:rsidR="00847760">
        <w:t>, for reference</w:t>
      </w:r>
      <w:r>
        <w:t>:</w:t>
      </w:r>
    </w:p>
    <w:p w:rsidR="00A72FAD" w:rsidRPr="00A72FAD" w:rsidRDefault="00A72FAD" w:rsidP="00A72FAD">
      <w:pPr>
        <w:pStyle w:val="ListParagraph"/>
        <w:numPr>
          <w:ilvl w:val="0"/>
          <w:numId w:val="3"/>
        </w:numPr>
        <w:tabs>
          <w:tab w:val="left" w:pos="4104"/>
          <w:tab w:val="left" w:pos="8640"/>
        </w:tabs>
      </w:pPr>
      <w:r w:rsidRPr="00AA489E">
        <w:t>-</w:t>
      </w:r>
      <w:r w:rsidRPr="00A72FAD">
        <w:t>Immediate critiques and warnings (e.g., in response to an order – “immediate alerts”)</w:t>
      </w:r>
      <w:r w:rsidRPr="00A72FAD">
        <w:tab/>
      </w:r>
      <w:r w:rsidRPr="00A72FAD">
        <w:tab/>
      </w:r>
    </w:p>
    <w:p w:rsidR="00A72FAD" w:rsidRPr="00AA489E" w:rsidRDefault="00A72FAD" w:rsidP="00A72FAD">
      <w:pPr>
        <w:pStyle w:val="ListParagraph"/>
        <w:numPr>
          <w:ilvl w:val="0"/>
          <w:numId w:val="3"/>
        </w:numPr>
        <w:tabs>
          <w:tab w:val="left" w:pos="4104"/>
          <w:tab w:val="left" w:pos="8640"/>
        </w:tabs>
      </w:pPr>
      <w:r w:rsidRPr="00A72FAD">
        <w:t>-</w:t>
      </w:r>
      <w:r w:rsidRPr="00AA489E">
        <w:t>Event-driven or time-driven alerts and reminders (not in response to an order)</w:t>
      </w:r>
      <w:r w:rsidRPr="00AA489E">
        <w:tab/>
      </w:r>
      <w:r w:rsidRPr="00AA489E">
        <w:tab/>
      </w:r>
    </w:p>
    <w:p w:rsidR="00A72FAD" w:rsidRPr="00AA489E" w:rsidRDefault="00A72FAD" w:rsidP="00A72FAD">
      <w:pPr>
        <w:pStyle w:val="ListParagraph"/>
        <w:numPr>
          <w:ilvl w:val="0"/>
          <w:numId w:val="3"/>
        </w:numPr>
        <w:tabs>
          <w:tab w:val="left" w:pos="4104"/>
          <w:tab w:val="left" w:pos="8640"/>
        </w:tabs>
      </w:pPr>
      <w:r w:rsidRPr="00AA489E">
        <w:t>-Relevant data summary displays for a patient’s conditions/events</w:t>
      </w:r>
      <w:r w:rsidRPr="00AA489E">
        <w:tab/>
      </w:r>
      <w:r w:rsidRPr="00AA489E">
        <w:tab/>
      </w:r>
    </w:p>
    <w:p w:rsidR="00A72FAD" w:rsidRPr="00AA489E" w:rsidRDefault="00A72FAD" w:rsidP="00A72FAD">
      <w:pPr>
        <w:pStyle w:val="ListParagraph"/>
        <w:numPr>
          <w:ilvl w:val="0"/>
          <w:numId w:val="3"/>
        </w:numPr>
        <w:tabs>
          <w:tab w:val="left" w:pos="4104"/>
          <w:tab w:val="left" w:pos="8640"/>
        </w:tabs>
      </w:pPr>
      <w:r w:rsidRPr="00AA489E">
        <w:t>-Orders/order sets/care plans</w:t>
      </w:r>
      <w:r w:rsidRPr="00AA489E">
        <w:tab/>
      </w:r>
      <w:r w:rsidRPr="00AA489E">
        <w:tab/>
      </w:r>
    </w:p>
    <w:p w:rsidR="00A72FAD" w:rsidRPr="00AA489E" w:rsidRDefault="00A72FAD" w:rsidP="00A72FAD">
      <w:pPr>
        <w:pStyle w:val="ListParagraph"/>
        <w:numPr>
          <w:ilvl w:val="0"/>
          <w:numId w:val="3"/>
        </w:numPr>
        <w:tabs>
          <w:tab w:val="left" w:pos="4104"/>
          <w:tab w:val="left" w:pos="8640"/>
        </w:tabs>
      </w:pPr>
      <w:r w:rsidRPr="00AA489E">
        <w:t>-Parameter guidance (usually within ordering)</w:t>
      </w:r>
      <w:r w:rsidRPr="00AA489E">
        <w:tab/>
      </w:r>
      <w:r w:rsidRPr="00AA489E">
        <w:tab/>
      </w:r>
    </w:p>
    <w:p w:rsidR="00A72FAD" w:rsidRPr="00AA489E" w:rsidRDefault="00A72FAD" w:rsidP="00A72FAD">
      <w:pPr>
        <w:pStyle w:val="ListParagraph"/>
        <w:numPr>
          <w:ilvl w:val="0"/>
          <w:numId w:val="3"/>
        </w:numPr>
        <w:tabs>
          <w:tab w:val="left" w:pos="4104"/>
          <w:tab w:val="left" w:pos="8640"/>
        </w:tabs>
      </w:pPr>
      <w:r w:rsidRPr="00AA489E">
        <w:t>-Smart documentation templates</w:t>
      </w:r>
      <w:r w:rsidRPr="00AA489E">
        <w:tab/>
      </w:r>
      <w:r w:rsidRPr="00AA489E">
        <w:tab/>
      </w:r>
    </w:p>
    <w:p w:rsidR="00A72FAD" w:rsidRPr="00AA489E" w:rsidRDefault="00A72FAD" w:rsidP="00A72FAD">
      <w:pPr>
        <w:pStyle w:val="ListParagraph"/>
        <w:numPr>
          <w:ilvl w:val="0"/>
          <w:numId w:val="3"/>
        </w:numPr>
        <w:tabs>
          <w:tab w:val="left" w:pos="4104"/>
          <w:tab w:val="left" w:pos="8640"/>
        </w:tabs>
      </w:pPr>
      <w:r w:rsidRPr="00AA489E">
        <w:t>-Filtered reference information and knowledge resources (including infobuttons)</w:t>
      </w:r>
      <w:r w:rsidRPr="00AA489E">
        <w:tab/>
      </w:r>
      <w:r w:rsidRPr="00AA489E">
        <w:tab/>
      </w:r>
    </w:p>
    <w:p w:rsidR="00A72FAD" w:rsidRPr="00AA489E" w:rsidRDefault="00A72FAD" w:rsidP="00A72FAD">
      <w:pPr>
        <w:pStyle w:val="ListParagraph"/>
        <w:numPr>
          <w:ilvl w:val="0"/>
          <w:numId w:val="3"/>
        </w:numPr>
        <w:tabs>
          <w:tab w:val="left" w:pos="4104"/>
          <w:tab w:val="left" w:pos="8640"/>
        </w:tabs>
      </w:pPr>
      <w:r w:rsidRPr="00AA489E">
        <w:t>-Diagnostic advice or expert workup guidance</w:t>
      </w:r>
      <w:r w:rsidRPr="00AA489E">
        <w:tab/>
      </w:r>
      <w:r w:rsidRPr="00AA489E">
        <w:tab/>
      </w:r>
    </w:p>
    <w:p w:rsidR="00A72FAD" w:rsidRPr="00AA489E" w:rsidRDefault="00A72FAD" w:rsidP="00A72FAD">
      <w:pPr>
        <w:pStyle w:val="ListParagraph"/>
        <w:numPr>
          <w:ilvl w:val="0"/>
          <w:numId w:val="3"/>
        </w:numPr>
        <w:tabs>
          <w:tab w:val="left" w:pos="4104"/>
          <w:tab w:val="left" w:pos="8640"/>
        </w:tabs>
      </w:pPr>
      <w:r w:rsidRPr="00AA489E">
        <w:t>-Analytic calculations</w:t>
      </w:r>
      <w:r w:rsidRPr="00AA489E">
        <w:tab/>
      </w:r>
      <w:r w:rsidRPr="00AA489E">
        <w:tab/>
      </w:r>
    </w:p>
    <w:p w:rsidR="009E1011" w:rsidRDefault="009E1011" w:rsidP="001B5855">
      <w:r>
        <w:tab/>
      </w:r>
    </w:p>
    <w:p w:rsidR="00A72FAD" w:rsidRDefault="009E1011" w:rsidP="00847760">
      <w:r>
        <w:t xml:space="preserve"> </w:t>
      </w:r>
    </w:p>
    <w:p w:rsidR="00DF1A52" w:rsidRPr="004A3EE2" w:rsidRDefault="004A3EE2" w:rsidP="004A3EE2">
      <w:pPr>
        <w:pStyle w:val="ListParagraph"/>
        <w:numPr>
          <w:ilvl w:val="0"/>
          <w:numId w:val="6"/>
        </w:numPr>
        <w:rPr>
          <w:b/>
        </w:rPr>
      </w:pPr>
      <w:r>
        <w:rPr>
          <w:b/>
        </w:rPr>
        <w:t xml:space="preserve">CDS Structure </w:t>
      </w:r>
      <w:r w:rsidR="004F2A2C" w:rsidRPr="004A3EE2">
        <w:rPr>
          <w:b/>
        </w:rPr>
        <w:t>Example</w:t>
      </w:r>
      <w:r>
        <w:rPr>
          <w:b/>
        </w:rPr>
        <w:t>s</w:t>
      </w:r>
      <w:r w:rsidR="004F2A2C" w:rsidRPr="004A3EE2">
        <w:rPr>
          <w:b/>
        </w:rPr>
        <w:t>:</w:t>
      </w:r>
    </w:p>
    <w:p w:rsidR="00A72FAD" w:rsidRDefault="00A72FAD" w:rsidP="00DF1A52">
      <w:r>
        <w:t>Show how your method / structure / format is used to its fullest to handle the following two CDS situations, based on Stage 1 Meaningful Use quality measures.  Describe how you fulfill the elements above, e.g., triggering, access to data, logic, intervention, offered actions.</w:t>
      </w:r>
    </w:p>
    <w:p w:rsidR="00A72FAD" w:rsidRPr="00A72FAD" w:rsidRDefault="00A72FAD" w:rsidP="00DF1A52"/>
    <w:p w:rsidR="00417FDC" w:rsidRDefault="00A72FAD" w:rsidP="00A72FAD">
      <w:pPr>
        <w:pStyle w:val="ListParagraph"/>
        <w:numPr>
          <w:ilvl w:val="0"/>
          <w:numId w:val="5"/>
        </w:numPr>
      </w:pPr>
      <w:r>
        <w:t xml:space="preserve">Ambulatory chronic care: </w:t>
      </w:r>
      <w:r w:rsidRPr="009E5406">
        <w:rPr>
          <w:b/>
        </w:rPr>
        <w:t xml:space="preserve">Hemoglobin </w:t>
      </w:r>
      <w:r w:rsidR="004959C5" w:rsidRPr="009E5406">
        <w:rPr>
          <w:b/>
        </w:rPr>
        <w:t>A1c</w:t>
      </w:r>
      <w:r w:rsidR="004F2A2C" w:rsidRPr="009E5406">
        <w:rPr>
          <w:b/>
        </w:rPr>
        <w:t xml:space="preserve"> </w:t>
      </w:r>
      <w:r w:rsidRPr="009E5406">
        <w:rPr>
          <w:b/>
        </w:rPr>
        <w:t>in diabetes</w:t>
      </w:r>
      <w:r w:rsidR="00847760">
        <w:t>– done in timely fashion</w:t>
      </w:r>
      <w:r w:rsidR="004959C5">
        <w:t>, recognize/deal with high values</w:t>
      </w:r>
    </w:p>
    <w:p w:rsidR="00417FDC" w:rsidRDefault="00417FDC" w:rsidP="00417FDC">
      <w:pPr>
        <w:pStyle w:val="ListParagraph"/>
      </w:pPr>
      <w:r>
        <w:t>User has choice to specify how it is to be triggered: batch search of registry or patient list, open chart, etc.</w:t>
      </w:r>
    </w:p>
    <w:p w:rsidR="00417FDC" w:rsidRDefault="00417FDC" w:rsidP="00417FDC">
      <w:pPr>
        <w:pStyle w:val="ListParagraph"/>
      </w:pPr>
      <w:r>
        <w:t>Data elements include definition of diabetes, last HbA1c result existence, date, and value.</w:t>
      </w:r>
    </w:p>
    <w:p w:rsidR="00417FDC" w:rsidRDefault="00417FDC" w:rsidP="00417FDC">
      <w:pPr>
        <w:pStyle w:val="ListParagraph"/>
      </w:pPr>
      <w:r>
        <w:t>Core primitives available to customize logic – e.g., to check existence, to compare a date range, to compare to a threshold value</w:t>
      </w:r>
    </w:p>
    <w:p w:rsidR="00417FDC" w:rsidRDefault="00417FDC" w:rsidP="00417FDC">
      <w:pPr>
        <w:pStyle w:val="ListParagraph"/>
      </w:pPr>
      <w:r>
        <w:t>Logic can be visualized graphically, as succinct human-readable text, as Arden Syntax, or in full Arden ML XML expansion.</w:t>
      </w:r>
    </w:p>
    <w:p w:rsidR="00454526" w:rsidRDefault="00417FDC" w:rsidP="00417FDC">
      <w:pPr>
        <w:pStyle w:val="ListParagraph"/>
      </w:pPr>
      <w:r>
        <w:t>Actions can be selected from list of available actions, and template filled in, e.g., message content, method of communicating, delay before escalating, whether acknowledgment is required</w:t>
      </w:r>
      <w:r w:rsidR="00454526">
        <w:t>.</w:t>
      </w:r>
    </w:p>
    <w:p w:rsidR="009E5406" w:rsidRDefault="009E5406" w:rsidP="00417FDC">
      <w:pPr>
        <w:pStyle w:val="ListParagraph"/>
      </w:pPr>
    </w:p>
    <w:p w:rsidR="009E5406" w:rsidRDefault="009E5406" w:rsidP="009E5406">
      <w:pPr>
        <w:pStyle w:val="ListParagraph"/>
        <w:pBdr>
          <w:top w:val="single" w:sz="4" w:space="1" w:color="auto"/>
        </w:pBdr>
      </w:pPr>
      <w:r>
        <w:t>Let's use the timing of repeat HgbA1Cs as an example. In figure 1 we have an example where a trigger is specified (Registration_Event) but where no routing of the message is provided. We would assume a default management of this message from the system. However, as an alternative we might add the statement:</w:t>
      </w:r>
    </w:p>
    <w:p w:rsidR="009E5406" w:rsidRDefault="009E5406" w:rsidP="009E5406">
      <w:pPr>
        <w:pStyle w:val="ListParagraph"/>
      </w:pPr>
    </w:p>
    <w:p w:rsidR="009E5406" w:rsidRDefault="009E5406" w:rsidP="009E5406">
      <w:pPr>
        <w:pStyle w:val="ListParagraph"/>
        <w:rPr>
          <w:rFonts w:ascii="Times New Roman" w:hAnsi="Times New Roman" w:cs="Times New Roman"/>
          <w:szCs w:val="16"/>
        </w:rPr>
      </w:pPr>
      <w:r>
        <w:tab/>
      </w:r>
      <w:r>
        <w:tab/>
      </w:r>
      <w:r>
        <w:tab/>
      </w:r>
      <w:r>
        <w:tab/>
        <w:t xml:space="preserve">LET </w:t>
      </w:r>
      <w:r>
        <w:rPr>
          <w:rFonts w:ascii="Times New Roman" w:hAnsi="Times New Roman" w:cs="Times New Roman"/>
          <w:szCs w:val="16"/>
        </w:rPr>
        <w:t>Single_User_Email</w:t>
      </w:r>
      <w:r w:rsidRPr="002E4575">
        <w:rPr>
          <w:rFonts w:ascii="Times New Roman" w:hAnsi="Times New Roman" w:cs="Times New Roman"/>
          <w:szCs w:val="16"/>
        </w:rPr>
        <w:t xml:space="preserve"> </w:t>
      </w:r>
      <w:r>
        <w:rPr>
          <w:rFonts w:ascii="Times New Roman" w:hAnsi="Times New Roman" w:cs="Times New Roman"/>
          <w:szCs w:val="16"/>
        </w:rPr>
        <w:t>BE</w:t>
      </w:r>
      <w:r w:rsidRPr="002E4575">
        <w:rPr>
          <w:rFonts w:ascii="Times New Roman" w:hAnsi="Times New Roman" w:cs="Times New Roman"/>
          <w:szCs w:val="16"/>
        </w:rPr>
        <w:t xml:space="preserve"> DESTINATION {email: </w:t>
      </w:r>
      <w:hyperlink r:id="rId8" w:history="1">
        <w:r w:rsidRPr="002E4575">
          <w:rPr>
            <w:rStyle w:val="Hyperlink"/>
          </w:rPr>
          <w:t>user@cuasdf.bitnet</w:t>
        </w:r>
      </w:hyperlink>
      <w:r w:rsidRPr="002E4575">
        <w:rPr>
          <w:rFonts w:ascii="Times New Roman" w:hAnsi="Times New Roman" w:cs="Times New Roman"/>
          <w:szCs w:val="16"/>
        </w:rPr>
        <w:t>};</w:t>
      </w:r>
    </w:p>
    <w:p w:rsidR="009E5406" w:rsidRDefault="009E5406" w:rsidP="009E5406">
      <w:pPr>
        <w:pStyle w:val="ListParagraph"/>
      </w:pPr>
    </w:p>
    <w:p w:rsidR="009E5406" w:rsidRDefault="009E5406" w:rsidP="009E5406">
      <w:pPr>
        <w:pStyle w:val="ListParagraph"/>
      </w:pPr>
      <w:r>
        <w:t>To the data slot and rewrite the action slot as:</w:t>
      </w:r>
    </w:p>
    <w:p w:rsidR="009E5406" w:rsidRDefault="009E5406" w:rsidP="009E5406">
      <w:pPr>
        <w:pStyle w:val="ListParagraph"/>
      </w:pPr>
    </w:p>
    <w:p w:rsidR="009E5406" w:rsidRPr="00911258" w:rsidRDefault="009E5406" w:rsidP="009E5406">
      <w:r w:rsidRPr="00911258">
        <w:tab/>
      </w:r>
      <w:r w:rsidRPr="00911258">
        <w:tab/>
      </w:r>
      <w:r w:rsidRPr="002E4575">
        <w:t>action:</w:t>
      </w:r>
    </w:p>
    <w:p w:rsidR="009E5406" w:rsidRPr="00911258" w:rsidRDefault="009E5406" w:rsidP="009E5406">
      <w:r w:rsidRPr="002E4575">
        <w:tab/>
      </w:r>
      <w:r>
        <w:tab/>
      </w:r>
      <w:r>
        <w:tab/>
      </w:r>
      <w:r w:rsidRPr="002E4575">
        <w:t>WRITE "Patient</w:t>
      </w:r>
      <w:r>
        <w:t>”||patID|| “</w:t>
      </w:r>
      <w:r w:rsidRPr="002E4575">
        <w:t xml:space="preserve"> is a diabetic with no HgbA1c in last 6 months. Please order one."</w:t>
      </w:r>
      <w:r>
        <w:t xml:space="preserve"> AT </w:t>
      </w:r>
      <w:r>
        <w:rPr>
          <w:rFonts w:ascii="Times New Roman" w:hAnsi="Times New Roman" w:cs="Times New Roman"/>
          <w:szCs w:val="16"/>
        </w:rPr>
        <w:t>Single_User_Email</w:t>
      </w:r>
      <w:r w:rsidRPr="002E4575">
        <w:t>;</w:t>
      </w:r>
    </w:p>
    <w:p w:rsidR="009E5406" w:rsidRDefault="009E5406" w:rsidP="009E5406">
      <w:pPr>
        <w:pStyle w:val="ListParagraph"/>
      </w:pPr>
    </w:p>
    <w:p w:rsidR="009E5406" w:rsidRPr="00870D92" w:rsidRDefault="009E5406" w:rsidP="009E5406">
      <w:pPr>
        <w:pStyle w:val="ListParagraph"/>
        <w:rPr>
          <w:rFonts w:asciiTheme="minorHAnsi" w:hAnsiTheme="minorHAnsi" w:cstheme="minorHAnsi"/>
        </w:rPr>
      </w:pPr>
      <w:r>
        <w:t xml:space="preserve">This also requires that patID be defined in the data slot, but it gives an idea of how one might extend the behaviors available from the action slot. In fact, one can use it for messaging, for data storage, for returning results to another MLM, and to invoke additional logic with various time delays as needed. Additional flexibility (and complexity) can be added by creating a variable or object in the data slot </w:t>
      </w:r>
      <w:r w:rsidRPr="002E4575">
        <w:rPr>
          <w:rFonts w:asciiTheme="minorHAnsi" w:hAnsiTheme="minorHAnsi" w:cstheme="minorHAnsi"/>
        </w:rPr>
        <w:t>that is defined as a message:</w:t>
      </w:r>
    </w:p>
    <w:p w:rsidR="009E5406" w:rsidRPr="00870D92" w:rsidRDefault="009E5406" w:rsidP="009E5406">
      <w:pPr>
        <w:pStyle w:val="ListParagraph"/>
        <w:rPr>
          <w:rFonts w:asciiTheme="minorHAnsi" w:hAnsiTheme="minorHAnsi" w:cstheme="minorHAnsi"/>
        </w:rPr>
      </w:pPr>
    </w:p>
    <w:p w:rsidR="009E5406" w:rsidRPr="00870D92" w:rsidRDefault="009E5406" w:rsidP="009E5406">
      <w:pPr>
        <w:autoSpaceDE w:val="0"/>
        <w:autoSpaceDN w:val="0"/>
        <w:adjustRightInd w:val="0"/>
        <w:rPr>
          <w:rFonts w:asciiTheme="minorHAnsi" w:hAnsiTheme="minorHAnsi" w:cstheme="minorHAnsi"/>
        </w:rPr>
      </w:pPr>
      <w:r w:rsidRPr="002E4575">
        <w:rPr>
          <w:rFonts w:asciiTheme="minorHAnsi" w:hAnsiTheme="minorHAnsi" w:cstheme="minorHAnsi"/>
        </w:rPr>
        <w:tab/>
      </w:r>
      <w:r w:rsidRPr="002E4575">
        <w:rPr>
          <w:rFonts w:asciiTheme="minorHAnsi" w:hAnsiTheme="minorHAnsi" w:cstheme="minorHAnsi"/>
        </w:rPr>
        <w:tab/>
        <w:t>message_obj := OBJECT [subject, text];</w:t>
      </w:r>
    </w:p>
    <w:p w:rsidR="009E5406" w:rsidRDefault="009E5406" w:rsidP="009E5406">
      <w:pPr>
        <w:autoSpaceDE w:val="0"/>
        <w:autoSpaceDN w:val="0"/>
        <w:adjustRightInd w:val="0"/>
        <w:ind w:left="720" w:firstLine="720"/>
        <w:rPr>
          <w:rFonts w:asciiTheme="minorHAnsi" w:hAnsiTheme="minorHAnsi" w:cstheme="minorHAnsi"/>
        </w:rPr>
      </w:pPr>
      <w:r w:rsidRPr="002E4575">
        <w:rPr>
          <w:rFonts w:asciiTheme="minorHAnsi" w:hAnsiTheme="minorHAnsi" w:cstheme="minorHAnsi"/>
        </w:rPr>
        <w:t>high_PTT_msg := MESSAGE AS message_obj {Elevated PTT}</w:t>
      </w:r>
    </w:p>
    <w:p w:rsidR="009E5406" w:rsidRDefault="009E5406" w:rsidP="009E5406">
      <w:pPr>
        <w:autoSpaceDE w:val="0"/>
        <w:autoSpaceDN w:val="0"/>
        <w:adjustRightInd w:val="0"/>
        <w:ind w:left="720" w:firstLine="720"/>
        <w:rPr>
          <w:rFonts w:asciiTheme="minorHAnsi" w:hAnsiTheme="minorHAnsi" w:cstheme="minorHAnsi"/>
        </w:rPr>
      </w:pPr>
    </w:p>
    <w:p w:rsidR="009E5406" w:rsidRDefault="009E5406" w:rsidP="009E5406">
      <w:pPr>
        <w:autoSpaceDE w:val="0"/>
        <w:autoSpaceDN w:val="0"/>
        <w:adjustRightInd w:val="0"/>
        <w:ind w:left="720"/>
        <w:rPr>
          <w:rFonts w:asciiTheme="minorHAnsi" w:hAnsiTheme="minorHAnsi" w:cstheme="minorHAnsi"/>
        </w:rPr>
      </w:pPr>
      <w:r w:rsidRPr="002E4575">
        <w:rPr>
          <w:rFonts w:asciiTheme="minorHAnsi" w:hAnsiTheme="minorHAnsi" w:cstheme="minorHAnsi"/>
        </w:rPr>
        <w:t>The result is a flexible environment</w:t>
      </w:r>
      <w:r>
        <w:rPr>
          <w:rFonts w:asciiTheme="minorHAnsi" w:hAnsiTheme="minorHAnsi" w:cstheme="minorHAnsi"/>
        </w:rPr>
        <w:t xml:space="preserve"> for constructing notification models designed to communicate with users, with databases, or with other systems.</w:t>
      </w:r>
    </w:p>
    <w:p w:rsidR="009E5406" w:rsidRDefault="009E5406" w:rsidP="009E5406">
      <w:pPr>
        <w:pBdr>
          <w:bottom w:val="single" w:sz="4" w:space="1" w:color="auto"/>
        </w:pBdr>
        <w:autoSpaceDE w:val="0"/>
        <w:autoSpaceDN w:val="0"/>
        <w:adjustRightInd w:val="0"/>
        <w:ind w:left="720"/>
        <w:rPr>
          <w:rFonts w:asciiTheme="minorHAnsi" w:hAnsiTheme="minorHAnsi" w:cstheme="minorHAnsi"/>
        </w:rPr>
      </w:pPr>
    </w:p>
    <w:p w:rsidR="004F2A2C" w:rsidRDefault="009E5406" w:rsidP="00417FDC">
      <w:pPr>
        <w:pStyle w:val="ListParagraph"/>
      </w:pPr>
      <w:r>
        <w:rPr>
          <w:noProof/>
        </w:rPr>
      </w:r>
      <w:r>
        <w:rPr>
          <w:noProof/>
        </w:rPr>
        <w:pict>
          <v:shapetype id="_x0000_t202" coordsize="21600,21600" o:spt="202" path="m,l,21600r21600,l21600,xe">
            <v:stroke joinstyle="miter"/>
            <v:path gradientshapeok="t" o:connecttype="rect"/>
          </v:shapetype>
          <v:shape id="Text Box 2" o:spid="_x0000_s1026" type="#_x0000_t202" style="width:526.65pt;height:499.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">
            <v:shadow on="t" color="black" opacity="26214f" origin="-.5,-.5" offset=".74836mm,.74836mm"/>
            <v:textbox style="mso-next-textbox:#Text Box 2">
              <w:txbxContent>
                <w:p w:rsidR="009E5406" w:rsidRPr="00FD1022" w:rsidRDefault="009E5406" w:rsidP="009E5406">
                  <w:pPr>
                    <w:rPr>
                      <w:sz w:val="16"/>
                      <w:szCs w:val="16"/>
                    </w:rPr>
                  </w:pPr>
                  <w:r w:rsidRPr="00FD1022">
                    <w:rPr>
                      <w:b/>
                      <w:sz w:val="16"/>
                      <w:szCs w:val="16"/>
                    </w:rPr>
                    <w:t>maintenance</w:t>
                  </w:r>
                  <w:r w:rsidRPr="00FD1022">
                    <w:rPr>
                      <w:sz w:val="16"/>
                      <w:szCs w:val="16"/>
                    </w:rPr>
                    <w:t>:</w:t>
                  </w:r>
                </w:p>
                <w:p w:rsidR="009E5406" w:rsidRPr="00FD1022" w:rsidRDefault="009E5406" w:rsidP="009E5406">
                  <w:pPr>
                    <w:rPr>
                      <w:sz w:val="16"/>
                      <w:szCs w:val="16"/>
                    </w:rPr>
                  </w:pPr>
                  <w:r w:rsidRPr="00FD1022">
                    <w:rPr>
                      <w:sz w:val="16"/>
                      <w:szCs w:val="16"/>
                    </w:rPr>
                    <w:tab/>
                    <w:t>title: Rule 1-HgbA1c Timing;;</w:t>
                  </w:r>
                </w:p>
                <w:p w:rsidR="009E5406" w:rsidRPr="00FD1022" w:rsidRDefault="009E5406" w:rsidP="009E5406">
                  <w:pPr>
                    <w:rPr>
                      <w:sz w:val="16"/>
                      <w:szCs w:val="16"/>
                    </w:rPr>
                  </w:pPr>
                  <w:r w:rsidRPr="00FD1022">
                    <w:rPr>
                      <w:sz w:val="16"/>
                      <w:szCs w:val="16"/>
                    </w:rPr>
                    <w:tab/>
                    <w:t>mlmname: HgbA1c_Timing;;</w:t>
                  </w:r>
                </w:p>
                <w:p w:rsidR="009E5406" w:rsidRPr="00FD1022" w:rsidRDefault="009E5406" w:rsidP="009E5406">
                  <w:pPr>
                    <w:rPr>
                      <w:sz w:val="16"/>
                      <w:szCs w:val="16"/>
                    </w:rPr>
                  </w:pPr>
                  <w:r w:rsidRPr="00FD1022">
                    <w:rPr>
                      <w:sz w:val="16"/>
                      <w:szCs w:val="16"/>
                    </w:rPr>
                    <w:tab/>
                    <w:t>arden: Version 2.7;;</w:t>
                  </w:r>
                </w:p>
                <w:p w:rsidR="009E5406" w:rsidRPr="00FD1022" w:rsidRDefault="009E5406" w:rsidP="009E5406">
                  <w:pPr>
                    <w:rPr>
                      <w:sz w:val="16"/>
                      <w:szCs w:val="16"/>
                    </w:rPr>
                  </w:pPr>
                  <w:r w:rsidRPr="00FD1022">
                    <w:rPr>
                      <w:sz w:val="16"/>
                      <w:szCs w:val="16"/>
                    </w:rPr>
                    <w:tab/>
                    <w:t>version: 1.00;;</w:t>
                  </w:r>
                </w:p>
                <w:p w:rsidR="009E5406" w:rsidRPr="00FD1022" w:rsidRDefault="009E5406" w:rsidP="009E5406">
                  <w:pPr>
                    <w:rPr>
                      <w:sz w:val="16"/>
                      <w:szCs w:val="16"/>
                    </w:rPr>
                  </w:pPr>
                  <w:r w:rsidRPr="00FD1022">
                    <w:rPr>
                      <w:sz w:val="16"/>
                      <w:szCs w:val="16"/>
                    </w:rPr>
                    <w:tab/>
                    <w:t>institution: Intermountain Healthcare;;</w:t>
                  </w:r>
                </w:p>
                <w:p w:rsidR="009E5406" w:rsidRPr="00FD1022" w:rsidRDefault="009E5406" w:rsidP="009E5406">
                  <w:pPr>
                    <w:rPr>
                      <w:sz w:val="16"/>
                      <w:szCs w:val="16"/>
                    </w:rPr>
                  </w:pPr>
                  <w:r w:rsidRPr="00FD1022">
                    <w:rPr>
                      <w:sz w:val="16"/>
                      <w:szCs w:val="16"/>
                    </w:rPr>
                    <w:tab/>
                    <w:t>author: Peter Haug (Peter.Haug@imail.org);;</w:t>
                  </w:r>
                </w:p>
                <w:p w:rsidR="009E5406" w:rsidRPr="00FD1022" w:rsidRDefault="009E5406" w:rsidP="009E5406">
                  <w:pPr>
                    <w:rPr>
                      <w:sz w:val="16"/>
                      <w:szCs w:val="16"/>
                    </w:rPr>
                  </w:pPr>
                  <w:r w:rsidRPr="00FD1022">
                    <w:rPr>
                      <w:sz w:val="16"/>
                      <w:szCs w:val="16"/>
                    </w:rPr>
                    <w:tab/>
                    <w:t>specialist: Peter Haug (Peter.Haug@imail.org);;</w:t>
                  </w:r>
                </w:p>
                <w:p w:rsidR="009E5406" w:rsidRPr="00FD1022" w:rsidRDefault="009E5406" w:rsidP="009E5406">
                  <w:pPr>
                    <w:rPr>
                      <w:sz w:val="16"/>
                      <w:szCs w:val="16"/>
                    </w:rPr>
                  </w:pPr>
                  <w:r w:rsidRPr="00FD1022">
                    <w:rPr>
                      <w:sz w:val="16"/>
                      <w:szCs w:val="16"/>
                    </w:rPr>
                    <w:tab/>
                    <w:t>date: 2011-02-14;;</w:t>
                  </w:r>
                </w:p>
                <w:p w:rsidR="009E5406" w:rsidRPr="00FD1022" w:rsidRDefault="009E5406" w:rsidP="009E5406">
                  <w:pPr>
                    <w:rPr>
                      <w:sz w:val="16"/>
                      <w:szCs w:val="16"/>
                    </w:rPr>
                  </w:pPr>
                  <w:r w:rsidRPr="00FD1022">
                    <w:rPr>
                      <w:sz w:val="16"/>
                      <w:szCs w:val="16"/>
                    </w:rPr>
                    <w:tab/>
                    <w:t>validation: testing;;</w:t>
                  </w:r>
                </w:p>
                <w:p w:rsidR="009E5406" w:rsidRPr="00FD1022" w:rsidRDefault="009E5406" w:rsidP="009E5406">
                  <w:pPr>
                    <w:rPr>
                      <w:sz w:val="16"/>
                      <w:szCs w:val="16"/>
                    </w:rPr>
                  </w:pPr>
                  <w:r w:rsidRPr="00FD1022">
                    <w:rPr>
                      <w:b/>
                      <w:sz w:val="16"/>
                      <w:szCs w:val="16"/>
                    </w:rPr>
                    <w:t>library</w:t>
                  </w:r>
                  <w:r w:rsidRPr="00FD1022">
                    <w:rPr>
                      <w:sz w:val="16"/>
                      <w:szCs w:val="16"/>
                    </w:rPr>
                    <w:t>:</w:t>
                  </w:r>
                </w:p>
                <w:p w:rsidR="009E5406" w:rsidRPr="00FD1022" w:rsidRDefault="009E5406" w:rsidP="009E5406">
                  <w:pPr>
                    <w:rPr>
                      <w:sz w:val="16"/>
                      <w:szCs w:val="16"/>
                    </w:rPr>
                  </w:pPr>
                  <w:r w:rsidRPr="00FD1022">
                    <w:rPr>
                      <w:sz w:val="16"/>
                      <w:szCs w:val="16"/>
                    </w:rPr>
                    <w:tab/>
                    <w:t>purpose: Alert for HgbA1c if greater than 6 months. ;;</w:t>
                  </w:r>
                </w:p>
                <w:p w:rsidR="009E5406" w:rsidRDefault="009E5406" w:rsidP="009E5406">
                  <w:pPr>
                    <w:rPr>
                      <w:sz w:val="16"/>
                      <w:szCs w:val="16"/>
                    </w:rPr>
                  </w:pPr>
                  <w:r w:rsidRPr="00FD1022">
                    <w:rPr>
                      <w:sz w:val="16"/>
                      <w:szCs w:val="16"/>
                    </w:rPr>
                    <w:tab/>
                    <w:t xml:space="preserve">explanation: This MLM will send an alert if the patient is a diabetic (diabetes and problem list or discharge diagnoses) and </w:t>
                  </w:r>
                </w:p>
                <w:p w:rsidR="009E5406" w:rsidRPr="00FD1022" w:rsidRDefault="009E5406" w:rsidP="009E5406">
                  <w:pPr>
                    <w:ind w:left="720" w:firstLine="720"/>
                    <w:rPr>
                      <w:sz w:val="16"/>
                      <w:szCs w:val="16"/>
                    </w:rPr>
                  </w:pPr>
                  <w:r>
                    <w:rPr>
                      <w:sz w:val="16"/>
                      <w:szCs w:val="16"/>
                    </w:rPr>
                    <w:t xml:space="preserve">    </w:t>
                  </w:r>
                  <w:r w:rsidRPr="00FD1022">
                    <w:rPr>
                      <w:sz w:val="16"/>
                      <w:szCs w:val="16"/>
                    </w:rPr>
                    <w:t>no HgbA1c is recorded within the last 6 months.;;</w:t>
                  </w:r>
                </w:p>
                <w:p w:rsidR="009E5406" w:rsidRPr="00FD1022" w:rsidRDefault="009E5406" w:rsidP="009E5406">
                  <w:pPr>
                    <w:rPr>
                      <w:sz w:val="16"/>
                      <w:szCs w:val="16"/>
                    </w:rPr>
                  </w:pPr>
                  <w:r w:rsidRPr="00FD1022">
                    <w:rPr>
                      <w:sz w:val="16"/>
                      <w:szCs w:val="16"/>
                    </w:rPr>
                    <w:tab/>
                    <w:t>keywords: diabetes; HgbA1c;;</w:t>
                  </w:r>
                </w:p>
                <w:p w:rsidR="009E5406" w:rsidRPr="00FD1022" w:rsidRDefault="009E5406" w:rsidP="009E5406">
                  <w:pPr>
                    <w:rPr>
                      <w:sz w:val="16"/>
                      <w:szCs w:val="16"/>
                    </w:rPr>
                  </w:pPr>
                  <w:r w:rsidRPr="00FD1022">
                    <w:rPr>
                      <w:sz w:val="16"/>
                      <w:szCs w:val="16"/>
                    </w:rPr>
                    <w:tab/>
                    <w:t>citations: to be added.;;</w:t>
                  </w:r>
                </w:p>
                <w:p w:rsidR="009E5406" w:rsidRPr="00FD1022" w:rsidRDefault="009E5406" w:rsidP="009E5406">
                  <w:pPr>
                    <w:rPr>
                      <w:sz w:val="16"/>
                      <w:szCs w:val="16"/>
                    </w:rPr>
                  </w:pPr>
                  <w:r w:rsidRPr="00FD1022">
                    <w:rPr>
                      <w:sz w:val="16"/>
                      <w:szCs w:val="16"/>
                    </w:rPr>
                    <w:tab/>
                    <w:t>links: to be added;;</w:t>
                  </w:r>
                </w:p>
                <w:p w:rsidR="009E5406" w:rsidRPr="00FD1022" w:rsidRDefault="009E5406" w:rsidP="009E5406">
                  <w:pPr>
                    <w:rPr>
                      <w:sz w:val="16"/>
                      <w:szCs w:val="16"/>
                    </w:rPr>
                  </w:pPr>
                  <w:r w:rsidRPr="00FD1022">
                    <w:rPr>
                      <w:b/>
                      <w:sz w:val="16"/>
                      <w:szCs w:val="16"/>
                    </w:rPr>
                    <w:t>knowledge</w:t>
                  </w:r>
                  <w:r w:rsidRPr="00FD1022">
                    <w:rPr>
                      <w:sz w:val="16"/>
                      <w:szCs w:val="16"/>
                    </w:rPr>
                    <w:t>:</w:t>
                  </w:r>
                </w:p>
                <w:p w:rsidR="009E5406" w:rsidRPr="00FD1022" w:rsidRDefault="009E5406" w:rsidP="009E5406">
                  <w:pPr>
                    <w:rPr>
                      <w:sz w:val="16"/>
                      <w:szCs w:val="16"/>
                    </w:rPr>
                  </w:pPr>
                  <w:r w:rsidRPr="00FD1022">
                    <w:rPr>
                      <w:sz w:val="16"/>
                      <w:szCs w:val="16"/>
                    </w:rPr>
                    <w:t>type:  data_driven;;</w:t>
                  </w:r>
                </w:p>
                <w:p w:rsidR="009E5406" w:rsidRPr="00FD1022" w:rsidRDefault="009E5406" w:rsidP="009E5406">
                  <w:pPr>
                    <w:rPr>
                      <w:sz w:val="16"/>
                      <w:szCs w:val="16"/>
                    </w:rPr>
                  </w:pPr>
                  <w:r w:rsidRPr="00FD1022">
                    <w:rPr>
                      <w:sz w:val="16"/>
                      <w:szCs w:val="16"/>
                    </w:rPr>
                    <w:t>data:</w:t>
                  </w:r>
                  <w:r w:rsidRPr="00FD1022">
                    <w:rPr>
                      <w:sz w:val="16"/>
                      <w:szCs w:val="16"/>
                    </w:rPr>
                    <w:tab/>
                  </w:r>
                </w:p>
                <w:p w:rsidR="009E5406" w:rsidRPr="00FD1022" w:rsidRDefault="009E5406" w:rsidP="009E5406">
                  <w:pPr>
                    <w:rPr>
                      <w:sz w:val="16"/>
                      <w:szCs w:val="16"/>
                    </w:rPr>
                  </w:pPr>
                  <w:r w:rsidRPr="00FD1022">
                    <w:rPr>
                      <w:sz w:val="16"/>
                      <w:szCs w:val="16"/>
                    </w:rPr>
                    <w:tab/>
                    <w:t>LET Problem_List_Problem BE OBJECT [Problem, Recorder];</w:t>
                  </w:r>
                </w:p>
                <w:p w:rsidR="009E5406" w:rsidRPr="00FD1022" w:rsidRDefault="009E5406" w:rsidP="009E5406">
                  <w:pPr>
                    <w:rPr>
                      <w:sz w:val="16"/>
                      <w:szCs w:val="16"/>
                    </w:rPr>
                  </w:pPr>
                  <w:r w:rsidRPr="00FD1022">
                    <w:rPr>
                      <w:sz w:val="16"/>
                      <w:szCs w:val="16"/>
                    </w:rPr>
                    <w:tab/>
                    <w:t>LET Problem_List BE READ AS Problem_List_Problem {select problem, recorded_by from Problem_List_Table};</w:t>
                  </w:r>
                </w:p>
                <w:p w:rsidR="009E5406" w:rsidRPr="00FD1022" w:rsidRDefault="009E5406" w:rsidP="009E5406">
                  <w:pPr>
                    <w:rPr>
                      <w:sz w:val="16"/>
                      <w:szCs w:val="16"/>
                    </w:rPr>
                  </w:pPr>
                  <w:r w:rsidRPr="00FD1022">
                    <w:rPr>
                      <w:sz w:val="16"/>
                      <w:szCs w:val="16"/>
                    </w:rPr>
                    <w:tab/>
                  </w:r>
                </w:p>
                <w:p w:rsidR="009E5406" w:rsidRPr="00FD1022" w:rsidRDefault="009E5406" w:rsidP="009E5406">
                  <w:pPr>
                    <w:rPr>
                      <w:sz w:val="16"/>
                      <w:szCs w:val="16"/>
                    </w:rPr>
                  </w:pPr>
                  <w:r w:rsidRPr="00FD1022">
                    <w:rPr>
                      <w:sz w:val="16"/>
                      <w:szCs w:val="16"/>
                    </w:rPr>
                    <w:tab/>
                    <w:t>LET Patient_Dx_Object BE OBJECT [Dx];</w:t>
                  </w:r>
                </w:p>
                <w:p w:rsidR="009E5406" w:rsidRPr="00FD1022" w:rsidRDefault="009E5406" w:rsidP="009E5406">
                  <w:pPr>
                    <w:rPr>
                      <w:sz w:val="16"/>
                      <w:szCs w:val="16"/>
                    </w:rPr>
                  </w:pPr>
                  <w:r w:rsidRPr="00FD1022">
                    <w:rPr>
                      <w:sz w:val="16"/>
                      <w:szCs w:val="16"/>
                    </w:rPr>
                    <w:tab/>
                    <w:t>LET Discharge_Dx BE READ AS Patient_Dx_Object {ICD_discharge_Diagnoses};</w:t>
                  </w:r>
                </w:p>
                <w:p w:rsidR="009E5406" w:rsidRPr="00FD1022" w:rsidRDefault="009E5406" w:rsidP="009E5406">
                  <w:pPr>
                    <w:rPr>
                      <w:sz w:val="16"/>
                      <w:szCs w:val="16"/>
                    </w:rPr>
                  </w:pPr>
                  <w:r w:rsidRPr="00FD1022">
                    <w:rPr>
                      <w:sz w:val="16"/>
                      <w:szCs w:val="16"/>
                    </w:rPr>
                    <w:tab/>
                  </w:r>
                </w:p>
                <w:p w:rsidR="009E5406" w:rsidRPr="00FD1022" w:rsidRDefault="009E5406" w:rsidP="009E5406">
                  <w:pPr>
                    <w:rPr>
                      <w:sz w:val="16"/>
                      <w:szCs w:val="16"/>
                    </w:rPr>
                  </w:pPr>
                  <w:r w:rsidRPr="00FD1022">
                    <w:rPr>
                      <w:sz w:val="16"/>
                      <w:szCs w:val="16"/>
                    </w:rPr>
                    <w:tab/>
                    <w:t>LET Chem_Lab_Object BE OBJECT [Measurement_Name, LOINC_Code, Measurement_Units, Value];</w:t>
                  </w:r>
                  <w:r w:rsidRPr="00FD1022">
                    <w:rPr>
                      <w:sz w:val="16"/>
                      <w:szCs w:val="16"/>
                    </w:rPr>
                    <w:tab/>
                  </w:r>
                </w:p>
                <w:p w:rsidR="009E5406" w:rsidRPr="00FD1022" w:rsidRDefault="009E5406" w:rsidP="009E5406">
                  <w:pPr>
                    <w:rPr>
                      <w:sz w:val="16"/>
                      <w:szCs w:val="16"/>
                    </w:rPr>
                  </w:pPr>
                  <w:r w:rsidRPr="00FD1022">
                    <w:rPr>
                      <w:sz w:val="16"/>
                      <w:szCs w:val="16"/>
                    </w:rPr>
                    <w:tab/>
                    <w:t>LET Last_HgA1c BE READ AS Chem_Lab_Object LATEST {select measurement, LOINC, units, value from Laboratory_Table where measurement='HgbA1c'};</w:t>
                  </w:r>
                </w:p>
                <w:p w:rsidR="009E5406" w:rsidRPr="00FD1022" w:rsidRDefault="009E5406" w:rsidP="009E5406">
                  <w:pPr>
                    <w:rPr>
                      <w:sz w:val="16"/>
                      <w:szCs w:val="16"/>
                    </w:rPr>
                  </w:pPr>
                  <w:r w:rsidRPr="00FD1022">
                    <w:rPr>
                      <w:sz w:val="16"/>
                      <w:szCs w:val="16"/>
                    </w:rPr>
                    <w:tab/>
                  </w:r>
                </w:p>
                <w:p w:rsidR="009E5406" w:rsidRPr="00FD1022" w:rsidRDefault="009E5406" w:rsidP="009E5406">
                  <w:pPr>
                    <w:rPr>
                      <w:sz w:val="16"/>
                      <w:szCs w:val="16"/>
                    </w:rPr>
                  </w:pPr>
                  <w:r w:rsidRPr="00FD1022">
                    <w:rPr>
                      <w:sz w:val="16"/>
                      <w:szCs w:val="16"/>
                    </w:rPr>
                    <w:tab/>
                    <w:t>Let Registration_Event BE Event {registration of patient};</w:t>
                  </w:r>
                </w:p>
                <w:p w:rsidR="009E5406" w:rsidRPr="00FD1022" w:rsidRDefault="009E5406" w:rsidP="009E5406">
                  <w:pPr>
                    <w:rPr>
                      <w:sz w:val="16"/>
                      <w:szCs w:val="16"/>
                    </w:rPr>
                  </w:pPr>
                  <w:r w:rsidRPr="00FD1022">
                    <w:rPr>
                      <w:sz w:val="16"/>
                      <w:szCs w:val="16"/>
                    </w:rPr>
                    <w:tab/>
                    <w:t>;;</w:t>
                  </w:r>
                </w:p>
                <w:p w:rsidR="009E5406" w:rsidRPr="00FD1022" w:rsidRDefault="009E5406" w:rsidP="009E5406">
                  <w:pPr>
                    <w:rPr>
                      <w:sz w:val="16"/>
                      <w:szCs w:val="16"/>
                    </w:rPr>
                  </w:pPr>
                  <w:r w:rsidRPr="00FD1022">
                    <w:rPr>
                      <w:sz w:val="16"/>
                      <w:szCs w:val="16"/>
                    </w:rPr>
                    <w:t>evoke: Registration_Event;;</w:t>
                  </w:r>
                </w:p>
                <w:p w:rsidR="009E5406" w:rsidRPr="00FD1022" w:rsidRDefault="009E5406" w:rsidP="009E5406">
                  <w:pPr>
                    <w:rPr>
                      <w:sz w:val="16"/>
                      <w:szCs w:val="16"/>
                    </w:rPr>
                  </w:pPr>
                  <w:r w:rsidRPr="00FD1022">
                    <w:rPr>
                      <w:sz w:val="16"/>
                      <w:szCs w:val="16"/>
                    </w:rPr>
                    <w:t>logic:</w:t>
                  </w:r>
                </w:p>
                <w:p w:rsidR="009E5406" w:rsidRPr="00FD1022" w:rsidRDefault="009E5406" w:rsidP="009E5406">
                  <w:pPr>
                    <w:rPr>
                      <w:sz w:val="16"/>
                      <w:szCs w:val="16"/>
                    </w:rPr>
                  </w:pPr>
                  <w:r>
                    <w:rPr>
                      <w:sz w:val="16"/>
                      <w:szCs w:val="16"/>
                    </w:rPr>
                    <w:tab/>
                    <w:t xml:space="preserve">if  </w:t>
                  </w:r>
                  <w:r w:rsidRPr="00FD1022">
                    <w:rPr>
                      <w:sz w:val="16"/>
                      <w:szCs w:val="16"/>
                    </w:rPr>
                    <w:t>Discharge_Dx.Dx IS IN (250, 250.0, 250.1, 250.2, 250.3, 250.4, 250.5, 250.6 250.7, 250.8, 250.9)</w:t>
                  </w:r>
                </w:p>
                <w:p w:rsidR="009E5406" w:rsidRPr="00FD1022" w:rsidRDefault="009E5406" w:rsidP="009E5406">
                  <w:pPr>
                    <w:rPr>
                      <w:sz w:val="16"/>
                      <w:szCs w:val="16"/>
                    </w:rPr>
                  </w:pPr>
                  <w:r>
                    <w:rPr>
                      <w:sz w:val="16"/>
                      <w:szCs w:val="16"/>
                    </w:rPr>
                    <w:tab/>
                    <w:t xml:space="preserve">    </w:t>
                  </w:r>
                  <w:r w:rsidRPr="00FD1022">
                    <w:rPr>
                      <w:sz w:val="16"/>
                      <w:szCs w:val="16"/>
                    </w:rPr>
                    <w:t>or exist(Problem_List) and "Diabetes" IS IN Problem_List.Problem</w:t>
                  </w:r>
                </w:p>
                <w:p w:rsidR="009E5406" w:rsidRPr="00FD1022" w:rsidRDefault="009E5406" w:rsidP="009E5406">
                  <w:pPr>
                    <w:rPr>
                      <w:sz w:val="16"/>
                      <w:szCs w:val="16"/>
                    </w:rPr>
                  </w:pPr>
                  <w:r>
                    <w:rPr>
                      <w:sz w:val="16"/>
                      <w:szCs w:val="16"/>
                    </w:rPr>
                    <w:tab/>
                    <w:t xml:space="preserve">then </w:t>
                  </w:r>
                  <w:r w:rsidRPr="00FD1022">
                    <w:rPr>
                      <w:sz w:val="16"/>
                      <w:szCs w:val="16"/>
                    </w:rPr>
                    <w:t>Diabetes_Present := True;</w:t>
                  </w:r>
                </w:p>
                <w:p w:rsidR="009E5406" w:rsidRDefault="009E5406" w:rsidP="009E5406">
                  <w:pPr>
                    <w:rPr>
                      <w:sz w:val="16"/>
                      <w:szCs w:val="16"/>
                    </w:rPr>
                  </w:pPr>
                  <w:r w:rsidRPr="00FD1022">
                    <w:rPr>
                      <w:sz w:val="16"/>
                      <w:szCs w:val="16"/>
                    </w:rPr>
                    <w:tab/>
                    <w:t>endif;</w:t>
                  </w:r>
                </w:p>
                <w:p w:rsidR="009E5406" w:rsidRPr="00FD1022" w:rsidRDefault="009E5406" w:rsidP="009E5406">
                  <w:pPr>
                    <w:rPr>
                      <w:sz w:val="16"/>
                      <w:szCs w:val="16"/>
                    </w:rPr>
                  </w:pPr>
                </w:p>
                <w:p w:rsidR="009E5406" w:rsidRPr="00FD1022" w:rsidRDefault="009E5406" w:rsidP="009E5406">
                  <w:pPr>
                    <w:rPr>
                      <w:sz w:val="16"/>
                      <w:szCs w:val="16"/>
                    </w:rPr>
                  </w:pPr>
                  <w:r w:rsidRPr="00FD1022">
                    <w:rPr>
                      <w:sz w:val="16"/>
                      <w:szCs w:val="16"/>
                    </w:rPr>
                    <w:tab/>
                    <w:t xml:space="preserve">if </w:t>
                  </w:r>
                  <w:r>
                    <w:rPr>
                      <w:sz w:val="16"/>
                      <w:szCs w:val="16"/>
                    </w:rPr>
                    <w:t xml:space="preserve"> </w:t>
                  </w:r>
                  <w:r w:rsidRPr="00FD1022">
                    <w:rPr>
                      <w:sz w:val="16"/>
                      <w:szCs w:val="16"/>
                    </w:rPr>
                    <w:t>Diabetes_Present and exist Last_HgA1c and Last_HgA1c Occurred not within past 6 months</w:t>
                  </w:r>
                </w:p>
                <w:p w:rsidR="009E5406" w:rsidRPr="00FD1022" w:rsidRDefault="009E5406" w:rsidP="009E5406">
                  <w:pPr>
                    <w:rPr>
                      <w:sz w:val="16"/>
                      <w:szCs w:val="16"/>
                    </w:rPr>
                  </w:pPr>
                  <w:r>
                    <w:rPr>
                      <w:sz w:val="16"/>
                      <w:szCs w:val="16"/>
                    </w:rPr>
                    <w:tab/>
                    <w:t xml:space="preserve">then </w:t>
                  </w:r>
                  <w:r w:rsidRPr="00FD1022">
                    <w:rPr>
                      <w:sz w:val="16"/>
                      <w:szCs w:val="16"/>
                    </w:rPr>
                    <w:t>conclude true;</w:t>
                  </w:r>
                </w:p>
                <w:p w:rsidR="009E5406" w:rsidRPr="00FD1022" w:rsidRDefault="009E5406" w:rsidP="009E5406">
                  <w:pPr>
                    <w:rPr>
                      <w:sz w:val="16"/>
                      <w:szCs w:val="16"/>
                    </w:rPr>
                  </w:pPr>
                  <w:r w:rsidRPr="00FD1022">
                    <w:rPr>
                      <w:sz w:val="16"/>
                      <w:szCs w:val="16"/>
                    </w:rPr>
                    <w:tab/>
                    <w:t>endif;</w:t>
                  </w:r>
                </w:p>
                <w:p w:rsidR="009E5406" w:rsidRPr="00FD1022" w:rsidRDefault="009E5406" w:rsidP="009E5406">
                  <w:pPr>
                    <w:rPr>
                      <w:sz w:val="16"/>
                      <w:szCs w:val="16"/>
                    </w:rPr>
                  </w:pPr>
                </w:p>
                <w:p w:rsidR="009E5406" w:rsidRPr="00FD1022" w:rsidRDefault="009E5406" w:rsidP="009E5406">
                  <w:pPr>
                    <w:rPr>
                      <w:sz w:val="16"/>
                      <w:szCs w:val="16"/>
                    </w:rPr>
                  </w:pPr>
                  <w:r w:rsidRPr="00FD1022">
                    <w:rPr>
                      <w:sz w:val="16"/>
                      <w:szCs w:val="16"/>
                    </w:rPr>
                    <w:tab/>
                    <w:t>conclude false; ;;</w:t>
                  </w:r>
                </w:p>
                <w:p w:rsidR="009E5406" w:rsidRPr="00FD1022" w:rsidRDefault="009E5406" w:rsidP="009E5406">
                  <w:pPr>
                    <w:rPr>
                      <w:sz w:val="16"/>
                      <w:szCs w:val="16"/>
                    </w:rPr>
                  </w:pPr>
                  <w:r w:rsidRPr="00FD1022">
                    <w:rPr>
                      <w:sz w:val="16"/>
                      <w:szCs w:val="16"/>
                    </w:rPr>
                    <w:t>action:</w:t>
                  </w:r>
                </w:p>
                <w:p w:rsidR="009E5406" w:rsidRPr="00FD1022" w:rsidRDefault="009E5406" w:rsidP="009E5406">
                  <w:pPr>
                    <w:rPr>
                      <w:sz w:val="16"/>
                      <w:szCs w:val="16"/>
                    </w:rPr>
                  </w:pPr>
                  <w:r w:rsidRPr="00FD1022">
                    <w:rPr>
                      <w:sz w:val="16"/>
                      <w:szCs w:val="16"/>
                    </w:rPr>
                    <w:tab/>
                    <w:t>WRITE "Patient is a diabetic with no HgbA1c in las</w:t>
                  </w:r>
                  <w:r>
                    <w:rPr>
                      <w:sz w:val="16"/>
                      <w:szCs w:val="16"/>
                    </w:rPr>
                    <w:t>t 6 months. Please order one.";</w:t>
                  </w:r>
                </w:p>
                <w:p w:rsidR="009E5406" w:rsidRPr="00FD1022" w:rsidRDefault="009E5406" w:rsidP="009E5406">
                  <w:pPr>
                    <w:rPr>
                      <w:sz w:val="16"/>
                      <w:szCs w:val="16"/>
                    </w:rPr>
                  </w:pPr>
                  <w:r w:rsidRPr="00FD1022">
                    <w:rPr>
                      <w:sz w:val="16"/>
                      <w:szCs w:val="16"/>
                    </w:rPr>
                    <w:t>end:</w:t>
                  </w:r>
                </w:p>
                <w:p w:rsidR="009E5406" w:rsidRPr="00FD1022" w:rsidRDefault="009E5406" w:rsidP="009E5406">
                  <w:pPr>
                    <w:rPr>
                      <w:sz w:val="16"/>
                      <w:szCs w:val="16"/>
                    </w:rPr>
                  </w:pPr>
                </w:p>
                <w:p w:rsidR="009E5406" w:rsidRPr="00FD1022" w:rsidRDefault="009E5406" w:rsidP="009E5406">
                  <w:pPr>
                    <w:pBdr>
                      <w:top w:val="single" w:sz="4" w:space="1" w:color="auto"/>
                    </w:pBdr>
                    <w:rPr>
                      <w:sz w:val="20"/>
                      <w:szCs w:val="16"/>
                    </w:rPr>
                  </w:pPr>
                  <w:r w:rsidRPr="00FD1022">
                    <w:rPr>
                      <w:sz w:val="20"/>
                      <w:szCs w:val="16"/>
                      <w:u w:val="single"/>
                    </w:rPr>
                    <w:t>Figure 1</w:t>
                  </w:r>
                  <w:r w:rsidRPr="00FD1022">
                    <w:rPr>
                      <w:sz w:val="20"/>
                      <w:szCs w:val="16"/>
                    </w:rPr>
                    <w:t>: Simple HgbA1C example.</w:t>
                  </w:r>
                </w:p>
              </w:txbxContent>
            </v:textbox>
            <w10:wrap type="none"/>
            <w10:anchorlock/>
          </v:shape>
        </w:pict>
      </w:r>
      <w:r w:rsidR="00A72FAD">
        <w:br/>
      </w:r>
    </w:p>
    <w:p w:rsidR="004F2A2C" w:rsidRDefault="00A72FAD" w:rsidP="00A72FAD">
      <w:pPr>
        <w:pStyle w:val="ListParagraph"/>
        <w:numPr>
          <w:ilvl w:val="0"/>
          <w:numId w:val="5"/>
        </w:numPr>
      </w:pPr>
      <w:r>
        <w:t xml:space="preserve">Inpatient care: </w:t>
      </w:r>
      <w:r w:rsidR="00AA489E">
        <w:t>VTE p</w:t>
      </w:r>
      <w:r w:rsidR="004959C5">
        <w:t>rophylaxis for appropriate patients after admission</w:t>
      </w:r>
    </w:p>
    <w:p w:rsidR="004B5096" w:rsidRDefault="004B5096" w:rsidP="004B5096">
      <w:pPr>
        <w:pStyle w:val="ListParagraph"/>
      </w:pPr>
      <w:r>
        <w:t>User has choice to specify how it is to be triggered: in this case, on admission</w:t>
      </w:r>
    </w:p>
    <w:p w:rsidR="004B5096" w:rsidRDefault="004B5096" w:rsidP="004B5096">
      <w:pPr>
        <w:pStyle w:val="ListParagraph"/>
      </w:pPr>
      <w:r>
        <w:t>Data elements include definition of appropriate patient categories, whether VTE prophylaxis already ordered, date of admission</w:t>
      </w:r>
    </w:p>
    <w:p w:rsidR="004B5096" w:rsidRDefault="004B5096" w:rsidP="004B5096">
      <w:pPr>
        <w:pStyle w:val="ListParagraph"/>
      </w:pPr>
      <w:r>
        <w:t>Core primitives available to customize logic – e.g., to check existence, to compare a date range</w:t>
      </w:r>
    </w:p>
    <w:p w:rsidR="004B5096" w:rsidRDefault="004B5096" w:rsidP="004B5096">
      <w:pPr>
        <w:pStyle w:val="ListParagraph"/>
      </w:pPr>
      <w:r>
        <w:t>Logic can be visualized graphically, as succinct human-readable text, as Arden Syntax, or in full Arden ML XML expansion.</w:t>
      </w:r>
    </w:p>
    <w:p w:rsidR="004B5096" w:rsidRDefault="004B5096" w:rsidP="004B5096">
      <w:pPr>
        <w:pStyle w:val="ListParagraph"/>
      </w:pPr>
      <w:r>
        <w:t>Actions can be selected from list of available actions, and template filled in, e.g., message content, method of communicating, delay before escalating, whether acknowledgment is required</w:t>
      </w:r>
      <w:r>
        <w:br/>
      </w:r>
    </w:p>
    <w:p w:rsidR="00DF1A52" w:rsidRDefault="00DF1A52">
      <w:r>
        <w:tab/>
      </w:r>
      <w:r w:rsidR="009E5406">
        <w:t>The approach is similar.  We have not had time to develop this one, but one of the eRec Level 2 XML rules addresses this.</w:t>
      </w:r>
    </w:p>
    <w:sectPr w:rsidR="00DF1A52" w:rsidSect="00AA489E">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25E" w:rsidRDefault="0040225E" w:rsidP="004465ED">
      <w:r>
        <w:separator/>
      </w:r>
    </w:p>
  </w:endnote>
  <w:endnote w:type="continuationSeparator" w:id="0">
    <w:p w:rsidR="0040225E" w:rsidRDefault="0040225E" w:rsidP="004465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25E" w:rsidRDefault="0040225E" w:rsidP="004465ED">
      <w:r>
        <w:separator/>
      </w:r>
    </w:p>
  </w:footnote>
  <w:footnote w:type="continuationSeparator" w:id="0">
    <w:p w:rsidR="0040225E" w:rsidRDefault="0040225E" w:rsidP="004465ED">
      <w:r>
        <w:continuationSeparator/>
      </w:r>
    </w:p>
  </w:footnote>
  <w:footnote w:id="1">
    <w:p w:rsidR="00FB6D92" w:rsidRDefault="00FB6D92">
      <w:pPr>
        <w:pStyle w:val="FootnoteText"/>
      </w:pPr>
      <w:r>
        <w:rPr>
          <w:rStyle w:val="FootnoteReference"/>
        </w:rPr>
        <w:footnoteRef/>
      </w:r>
      <w:r>
        <w:t xml:space="preserve"> They have piloted an implementation of fuzzy logic in Arden and are proposing it as an extension to the standard.</w:t>
      </w:r>
    </w:p>
  </w:footnote>
  <w:footnote w:id="2">
    <w:p w:rsidR="00FB6D92" w:rsidRDefault="00FB6D92">
      <w:pPr>
        <w:pStyle w:val="FootnoteText"/>
        <w:rPr>
          <w:noProof/>
        </w:rPr>
      </w:pPr>
      <w:r>
        <w:rPr>
          <w:rStyle w:val="FootnoteReference"/>
        </w:rPr>
        <w:footnoteRef/>
      </w:r>
      <w:r>
        <w:t xml:space="preserve"> Example of some available triggering constructs for Arden Syntax.</w:t>
      </w:r>
      <w:r w:rsidRPr="00307835">
        <w:rPr>
          <w:noProof/>
        </w:rPr>
        <w:t xml:space="preserve"> </w:t>
      </w:r>
    </w:p>
    <w:p w:rsidR="00FB6D92" w:rsidRDefault="00FB6D92">
      <w:pPr>
        <w:pStyle w:val="FootnoteText"/>
      </w:pPr>
      <w:r>
        <w:rPr>
          <w:noProof/>
        </w:rPr>
        <w:t xml:space="preserve">                                                 </w:t>
      </w:r>
      <w:r w:rsidR="0040225E">
        <w:rPr>
          <w:noProof/>
        </w:rPr>
        <w:drawing>
          <wp:inline distT="0" distB="0" distL="0" distR="0">
            <wp:extent cx="3154680" cy="996696"/>
            <wp:effectExtent l="0" t="0" r="0" b="0"/>
            <wp:docPr id="1" name="Picture 1" descr="cid:image001.jpg@01CD0CEA.600B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CD0CEA.600B8260"/>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54680" cy="996696"/>
                    </a:xfrm>
                    <a:prstGeom prst="rect">
                      <a:avLst/>
                    </a:prstGeom>
                    <a:noFill/>
                    <a:ln>
                      <a:noFill/>
                    </a:ln>
                  </pic:spPr>
                </pic:pic>
              </a:graphicData>
            </a:graphic>
          </wp:inline>
        </w:drawing>
      </w:r>
    </w:p>
    <w:p w:rsidR="00FB6D92" w:rsidRDefault="00FB6D92">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8208F"/>
    <w:multiLevelType w:val="hybridMultilevel"/>
    <w:tmpl w:val="C2F0242A"/>
    <w:lvl w:ilvl="0" w:tplc="966E60CA">
      <w:start w:val="87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37205A8"/>
    <w:multiLevelType w:val="hybridMultilevel"/>
    <w:tmpl w:val="54001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337C6"/>
    <w:multiLevelType w:val="hybridMultilevel"/>
    <w:tmpl w:val="F008E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D402D4"/>
    <w:multiLevelType w:val="hybridMultilevel"/>
    <w:tmpl w:val="CE20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EB7E36"/>
    <w:multiLevelType w:val="hybridMultilevel"/>
    <w:tmpl w:val="9430A250"/>
    <w:lvl w:ilvl="0" w:tplc="CE5AF7C2">
      <w:start w:val="87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F3251"/>
    <w:multiLevelType w:val="hybridMultilevel"/>
    <w:tmpl w:val="62EA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05B47"/>
    <w:multiLevelType w:val="hybridMultilevel"/>
    <w:tmpl w:val="08EC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dgnword-docGUID" w:val="{BEEB8105-8076-4124-8DB0-EA2A56CD9E51}"/>
    <w:docVar w:name="dgnword-eventsink" w:val="3088656"/>
  </w:docVars>
  <w:rsids>
    <w:rsidRoot w:val="00DF1A52"/>
    <w:rsid w:val="00050E52"/>
    <w:rsid w:val="00070FAF"/>
    <w:rsid w:val="000D5B59"/>
    <w:rsid w:val="001B5855"/>
    <w:rsid w:val="001C67AC"/>
    <w:rsid w:val="0029379F"/>
    <w:rsid w:val="00307835"/>
    <w:rsid w:val="0034115A"/>
    <w:rsid w:val="003C3E85"/>
    <w:rsid w:val="0040225E"/>
    <w:rsid w:val="00417FDC"/>
    <w:rsid w:val="004465ED"/>
    <w:rsid w:val="00454526"/>
    <w:rsid w:val="00463F7E"/>
    <w:rsid w:val="004959C5"/>
    <w:rsid w:val="004A202A"/>
    <w:rsid w:val="004A3EE2"/>
    <w:rsid w:val="004B5096"/>
    <w:rsid w:val="004E6D3A"/>
    <w:rsid w:val="004F2A2C"/>
    <w:rsid w:val="00521BB5"/>
    <w:rsid w:val="0055243D"/>
    <w:rsid w:val="005D6BA5"/>
    <w:rsid w:val="005F1EC8"/>
    <w:rsid w:val="0066475D"/>
    <w:rsid w:val="006913B9"/>
    <w:rsid w:val="006E448B"/>
    <w:rsid w:val="007B3B2F"/>
    <w:rsid w:val="007D1D84"/>
    <w:rsid w:val="0083319F"/>
    <w:rsid w:val="00847760"/>
    <w:rsid w:val="00887CA8"/>
    <w:rsid w:val="008C5400"/>
    <w:rsid w:val="008D7DF6"/>
    <w:rsid w:val="009153A5"/>
    <w:rsid w:val="009E1011"/>
    <w:rsid w:val="009E5406"/>
    <w:rsid w:val="00A5559E"/>
    <w:rsid w:val="00A72FAD"/>
    <w:rsid w:val="00AA489E"/>
    <w:rsid w:val="00CB1156"/>
    <w:rsid w:val="00D97D42"/>
    <w:rsid w:val="00DE7709"/>
    <w:rsid w:val="00DF1A52"/>
    <w:rsid w:val="00EF7279"/>
    <w:rsid w:val="00F27656"/>
    <w:rsid w:val="00F74739"/>
    <w:rsid w:val="00FB6D92"/>
    <w:rsid w:val="00FF6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5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A52"/>
    <w:rPr>
      <w:color w:val="0000FF"/>
      <w:u w:val="single"/>
    </w:rPr>
  </w:style>
  <w:style w:type="paragraph" w:styleId="ListParagraph">
    <w:name w:val="List Paragraph"/>
    <w:basedOn w:val="Normal"/>
    <w:uiPriority w:val="34"/>
    <w:qFormat/>
    <w:rsid w:val="00DF1A52"/>
    <w:pPr>
      <w:ind w:left="720"/>
    </w:pPr>
  </w:style>
  <w:style w:type="table" w:styleId="TableGrid">
    <w:name w:val="Table Grid"/>
    <w:basedOn w:val="TableNormal"/>
    <w:uiPriority w:val="59"/>
    <w:rsid w:val="00AA4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7709"/>
    <w:rPr>
      <w:rFonts w:ascii="Tahoma" w:hAnsi="Tahoma" w:cs="Tahoma"/>
      <w:sz w:val="16"/>
      <w:szCs w:val="16"/>
    </w:rPr>
  </w:style>
  <w:style w:type="character" w:customStyle="1" w:styleId="BalloonTextChar">
    <w:name w:val="Balloon Text Char"/>
    <w:basedOn w:val="DefaultParagraphFont"/>
    <w:link w:val="BalloonText"/>
    <w:uiPriority w:val="99"/>
    <w:semiHidden/>
    <w:rsid w:val="00DE7709"/>
    <w:rPr>
      <w:rFonts w:ascii="Tahoma" w:hAnsi="Tahoma" w:cs="Tahoma"/>
      <w:sz w:val="16"/>
      <w:szCs w:val="16"/>
    </w:rPr>
  </w:style>
  <w:style w:type="paragraph" w:styleId="FootnoteText">
    <w:name w:val="footnote text"/>
    <w:basedOn w:val="Normal"/>
    <w:link w:val="FootnoteTextChar"/>
    <w:uiPriority w:val="99"/>
    <w:unhideWhenUsed/>
    <w:rsid w:val="004465ED"/>
    <w:rPr>
      <w:sz w:val="20"/>
      <w:szCs w:val="20"/>
    </w:rPr>
  </w:style>
  <w:style w:type="character" w:customStyle="1" w:styleId="FootnoteTextChar">
    <w:name w:val="Footnote Text Char"/>
    <w:basedOn w:val="DefaultParagraphFont"/>
    <w:link w:val="FootnoteText"/>
    <w:uiPriority w:val="99"/>
    <w:rsid w:val="004465ED"/>
    <w:rPr>
      <w:rFonts w:ascii="Calibri" w:hAnsi="Calibri" w:cs="Calibri"/>
      <w:sz w:val="20"/>
      <w:szCs w:val="20"/>
    </w:rPr>
  </w:style>
  <w:style w:type="character" w:styleId="FootnoteReference">
    <w:name w:val="footnote reference"/>
    <w:basedOn w:val="DefaultParagraphFont"/>
    <w:uiPriority w:val="99"/>
    <w:semiHidden/>
    <w:unhideWhenUsed/>
    <w:rsid w:val="004465ED"/>
    <w:rPr>
      <w:vertAlign w:val="superscript"/>
    </w:rPr>
  </w:style>
  <w:style w:type="paragraph" w:styleId="CommentText">
    <w:name w:val="annotation text"/>
    <w:basedOn w:val="Normal"/>
    <w:link w:val="CommentTextChar"/>
    <w:uiPriority w:val="99"/>
    <w:unhideWhenUsed/>
    <w:rsid w:val="00A5559E"/>
    <w:rPr>
      <w:sz w:val="24"/>
      <w:szCs w:val="24"/>
    </w:rPr>
  </w:style>
  <w:style w:type="character" w:customStyle="1" w:styleId="CommentTextChar">
    <w:name w:val="Comment Text Char"/>
    <w:basedOn w:val="DefaultParagraphFont"/>
    <w:link w:val="CommentText"/>
    <w:uiPriority w:val="99"/>
    <w:rsid w:val="00A5559E"/>
    <w:rPr>
      <w:rFonts w:ascii="Calibri" w:hAnsi="Calibri" w:cs="Calibr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5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A52"/>
    <w:rPr>
      <w:color w:val="0000FF"/>
      <w:u w:val="single"/>
    </w:rPr>
  </w:style>
  <w:style w:type="paragraph" w:styleId="ListParagraph">
    <w:name w:val="List Paragraph"/>
    <w:basedOn w:val="Normal"/>
    <w:uiPriority w:val="34"/>
    <w:qFormat/>
    <w:rsid w:val="00DF1A52"/>
    <w:pPr>
      <w:ind w:left="720"/>
    </w:pPr>
  </w:style>
  <w:style w:type="table" w:styleId="TableGrid">
    <w:name w:val="Table Grid"/>
    <w:basedOn w:val="TableNormal"/>
    <w:uiPriority w:val="59"/>
    <w:rsid w:val="00AA4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7709"/>
    <w:rPr>
      <w:rFonts w:ascii="Tahoma" w:hAnsi="Tahoma" w:cs="Tahoma"/>
      <w:sz w:val="16"/>
      <w:szCs w:val="16"/>
    </w:rPr>
  </w:style>
  <w:style w:type="character" w:customStyle="1" w:styleId="BalloonTextChar">
    <w:name w:val="Balloon Text Char"/>
    <w:basedOn w:val="DefaultParagraphFont"/>
    <w:link w:val="BalloonText"/>
    <w:uiPriority w:val="99"/>
    <w:semiHidden/>
    <w:rsid w:val="00DE7709"/>
    <w:rPr>
      <w:rFonts w:ascii="Tahoma" w:hAnsi="Tahoma" w:cs="Tahoma"/>
      <w:sz w:val="16"/>
      <w:szCs w:val="16"/>
    </w:rPr>
  </w:style>
  <w:style w:type="paragraph" w:styleId="FootnoteText">
    <w:name w:val="footnote text"/>
    <w:basedOn w:val="Normal"/>
    <w:link w:val="FootnoteTextChar"/>
    <w:uiPriority w:val="99"/>
    <w:unhideWhenUsed/>
    <w:rsid w:val="004465ED"/>
    <w:rPr>
      <w:sz w:val="20"/>
      <w:szCs w:val="20"/>
    </w:rPr>
  </w:style>
  <w:style w:type="character" w:customStyle="1" w:styleId="FootnoteTextChar">
    <w:name w:val="Footnote Text Char"/>
    <w:basedOn w:val="DefaultParagraphFont"/>
    <w:link w:val="FootnoteText"/>
    <w:uiPriority w:val="99"/>
    <w:rsid w:val="004465ED"/>
    <w:rPr>
      <w:rFonts w:ascii="Calibri" w:hAnsi="Calibri" w:cs="Calibri"/>
      <w:sz w:val="20"/>
      <w:szCs w:val="20"/>
    </w:rPr>
  </w:style>
  <w:style w:type="character" w:styleId="FootnoteReference">
    <w:name w:val="footnote reference"/>
    <w:basedOn w:val="DefaultParagraphFont"/>
    <w:uiPriority w:val="99"/>
    <w:semiHidden/>
    <w:unhideWhenUsed/>
    <w:rsid w:val="004465ED"/>
    <w:rPr>
      <w:vertAlign w:val="superscript"/>
    </w:rPr>
  </w:style>
</w:styles>
</file>

<file path=word/webSettings.xml><?xml version="1.0" encoding="utf-8"?>
<w:webSettings xmlns:r="http://schemas.openxmlformats.org/officeDocument/2006/relationships" xmlns:w="http://schemas.openxmlformats.org/wordprocessingml/2006/main">
  <w:divs>
    <w:div w:id="321273742">
      <w:bodyDiv w:val="1"/>
      <w:marLeft w:val="0"/>
      <w:marRight w:val="0"/>
      <w:marTop w:val="0"/>
      <w:marBottom w:val="0"/>
      <w:divBdr>
        <w:top w:val="none" w:sz="0" w:space="0" w:color="auto"/>
        <w:left w:val="none" w:sz="0" w:space="0" w:color="auto"/>
        <w:bottom w:val="none" w:sz="0" w:space="0" w:color="auto"/>
        <w:right w:val="none" w:sz="0" w:space="0" w:color="auto"/>
      </w:divBdr>
    </w:div>
    <w:div w:id="3809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user@cuasdf.bit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cid:image001.jpg@01CD0CEA.600B82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E2CBB-C9C8-4495-84E5-43F8B8BB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Teich</dc:creator>
  <cp:lastModifiedBy>rgreene2</cp:lastModifiedBy>
  <cp:revision>3</cp:revision>
  <dcterms:created xsi:type="dcterms:W3CDTF">2012-04-03T14:31:00Z</dcterms:created>
  <dcterms:modified xsi:type="dcterms:W3CDTF">2012-04-03T14:31:00Z</dcterms:modified>
</cp:coreProperties>
</file>