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87138" w14:textId="77777777" w:rsidR="00CE66A0" w:rsidRPr="00CF0AA7" w:rsidRDefault="00CE66A0" w:rsidP="00CE66A0">
      <w:pPr>
        <w:widowControl w:val="0"/>
        <w:autoSpaceDE w:val="0"/>
        <w:autoSpaceDN w:val="0"/>
        <w:adjustRightInd w:val="0"/>
        <w:rPr>
          <w:rFonts w:ascii="Helvetica" w:hAnsi="Helvetica" w:cs="Helvetica"/>
          <w:lang w:val="is-IS"/>
        </w:rPr>
      </w:pPr>
    </w:p>
    <w:p w14:paraId="62EC48EF" w14:textId="77777777" w:rsidR="00CE66A0" w:rsidRPr="00CF0AA7" w:rsidRDefault="00CE66A0" w:rsidP="00CF0AA7">
      <w:pPr>
        <w:pStyle w:val="Heading1"/>
        <w:rPr>
          <w:color w:val="auto"/>
        </w:rPr>
      </w:pPr>
      <w:r w:rsidRPr="00CF0AA7">
        <w:rPr>
          <w:color w:val="auto"/>
        </w:rPr>
        <w:t>AHCIP Ingest Data File Format Specification -- Draft, 2014-08-14</w:t>
      </w:r>
    </w:p>
    <w:p w14:paraId="1DB6DFA1"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0BADDF0F" w14:textId="77777777"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The data ingest format will be CSV files, with no headers. </w:t>
      </w:r>
    </w:p>
    <w:p w14:paraId="28530570" w14:textId="77777777" w:rsidR="00CE66A0" w:rsidRDefault="00CE66A0" w:rsidP="00CE66A0">
      <w:pPr>
        <w:widowControl w:val="0"/>
        <w:autoSpaceDE w:val="0"/>
        <w:autoSpaceDN w:val="0"/>
        <w:adjustRightInd w:val="0"/>
        <w:rPr>
          <w:rFonts w:ascii="Helvetica" w:hAnsi="Helvetica" w:cs="Helvetica"/>
          <w:sz w:val="20"/>
          <w:szCs w:val="20"/>
        </w:rPr>
      </w:pPr>
    </w:p>
    <w:p w14:paraId="14045C01" w14:textId="77777777"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Each line of the file will comprise the following (regular characters are literal, </w:t>
      </w:r>
      <w:r w:rsidRPr="00CE66A0">
        <w:rPr>
          <w:rFonts w:ascii="Helvetica" w:hAnsi="Helvetica" w:cs="Helvetica"/>
          <w:b/>
          <w:bCs/>
          <w:sz w:val="20"/>
          <w:szCs w:val="20"/>
        </w:rPr>
        <w:t>BOLDCAPS</w:t>
      </w:r>
      <w:r w:rsidRPr="00CE66A0">
        <w:rPr>
          <w:rFonts w:ascii="Helvetica" w:hAnsi="Helvetica" w:cs="Helvetica"/>
          <w:sz w:val="20"/>
          <w:szCs w:val="20"/>
        </w:rPr>
        <w:t> are symbolic references to a substring format, explained below).</w:t>
      </w:r>
      <w:r>
        <w:rPr>
          <w:rFonts w:ascii="Helvetica" w:hAnsi="Helvetica" w:cs="Helvetica"/>
          <w:sz w:val="20"/>
          <w:szCs w:val="20"/>
        </w:rPr>
        <w:t xml:space="preserve">  Ignore any line wrapping ... input lines will be one line terminated by newline characters.</w:t>
      </w:r>
    </w:p>
    <w:p w14:paraId="064A3C54"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68F90B33" w14:textId="77777777" w:rsidR="00CE66A0" w:rsidRPr="00CE66A0" w:rsidRDefault="00CE66A0" w:rsidP="00CE66A0">
      <w:pPr>
        <w:widowControl w:val="0"/>
        <w:autoSpaceDE w:val="0"/>
        <w:autoSpaceDN w:val="0"/>
        <w:adjustRightInd w:val="0"/>
        <w:rPr>
          <w:rFonts w:ascii="Helvetica" w:hAnsi="Helvetica" w:cs="Helvetica"/>
        </w:rPr>
      </w:pPr>
      <w:r w:rsidRPr="00CE66A0">
        <w:rPr>
          <w:rFonts w:ascii="Helvetica" w:hAnsi="Helvetica" w:cs="Helvetica"/>
        </w:rPr>
        <w:t>"</w:t>
      </w:r>
      <w:r w:rsidRPr="00CE66A0">
        <w:rPr>
          <w:rFonts w:ascii="Helvetica" w:hAnsi="Helvetica" w:cs="Helvetica"/>
          <w:b/>
          <w:bCs/>
        </w:rPr>
        <w:t>PRIMSRCURN</w:t>
      </w:r>
      <w:r w:rsidRPr="00CE66A0">
        <w:rPr>
          <w:rFonts w:ascii="Helvetica" w:hAnsi="Helvetica" w:cs="Helvetica"/>
        </w:rPr>
        <w:t>","</w:t>
      </w:r>
      <w:r w:rsidRPr="00CE66A0">
        <w:rPr>
          <w:rFonts w:ascii="Helvetica" w:hAnsi="Helvetica" w:cs="Helvetica"/>
          <w:b/>
          <w:bCs/>
        </w:rPr>
        <w:t>CMNTSRCURN</w:t>
      </w:r>
      <w:r w:rsidRPr="00CE66A0">
        <w:rPr>
          <w:rFonts w:ascii="Helvetica" w:hAnsi="Helvetica" w:cs="Helvetica"/>
        </w:rPr>
        <w:t>","</w:t>
      </w:r>
      <w:r w:rsidRPr="00CE66A0">
        <w:rPr>
          <w:rFonts w:ascii="Helvetica" w:hAnsi="Helvetica" w:cs="Helvetica"/>
          <w:b/>
          <w:bCs/>
        </w:rPr>
        <w:t>CMNTTYPE</w:t>
      </w:r>
      <w:r w:rsidRPr="00CE66A0">
        <w:rPr>
          <w:rFonts w:ascii="Helvetica" w:hAnsi="Helvetica" w:cs="Helvetica"/>
        </w:rPr>
        <w:t>","</w:t>
      </w:r>
      <w:r w:rsidRPr="00CE66A0">
        <w:rPr>
          <w:rFonts w:ascii="Helvetica" w:hAnsi="Helvetica" w:cs="Helvetica"/>
          <w:b/>
          <w:bCs/>
        </w:rPr>
        <w:t>CMNTTEXT</w:t>
      </w:r>
      <w:r w:rsidRPr="00CE66A0">
        <w:rPr>
          <w:rFonts w:ascii="Helvetica" w:hAnsi="Helvetica" w:cs="Helvetica"/>
        </w:rPr>
        <w:t>"</w:t>
      </w:r>
    </w:p>
    <w:p w14:paraId="352F9592" w14:textId="77777777"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Example:</w:t>
      </w:r>
    </w:p>
    <w:p w14:paraId="7D89C70B" w14:textId="77777777" w:rsidR="00CE66A0" w:rsidRPr="00CE66A0" w:rsidRDefault="00CE66A0" w:rsidP="00CE66A0">
      <w:pPr>
        <w:widowControl w:val="0"/>
        <w:autoSpaceDE w:val="0"/>
        <w:autoSpaceDN w:val="0"/>
        <w:adjustRightInd w:val="0"/>
        <w:ind w:left="720"/>
        <w:rPr>
          <w:rFonts w:ascii="Arial" w:hAnsi="Arial" w:cs="Arial"/>
          <w:sz w:val="20"/>
          <w:szCs w:val="20"/>
        </w:rPr>
      </w:pPr>
      <w:r w:rsidRPr="00CE66A0">
        <w:rPr>
          <w:rFonts w:ascii="Arial" w:hAnsi="Arial" w:cs="Arial"/>
          <w:sz w:val="20"/>
          <w:szCs w:val="20"/>
        </w:rPr>
        <w:t>"urn:cts:greekLit:tlg0013.tlg003:239-242","urn:cts:dmk:DouglasFrame.HippotaNestor:712-713","references","analysis of the one real exception to the hymn’s geographical coherence, the Kephisos River’s being out of place, as an expansion by the victors in the First Sacred War (to counter the earlier hymn’s Spartan propaganda following the Second Messenian War)"</w:t>
      </w:r>
    </w:p>
    <w:p w14:paraId="29A5FC5D"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5FCF4FEE" w14:textId="77777777"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PRIMSRCURN</w:t>
      </w:r>
      <w:r w:rsidRPr="00CE66A0">
        <w:rPr>
          <w:rFonts w:ascii="Helvetica" w:hAnsi="Helvetica" w:cs="Helvetica"/>
          <w:sz w:val="20"/>
          <w:szCs w:val="20"/>
        </w:rPr>
        <w:t> is the CTS greekLit URN for the [primary source] passage to which this commentary applies</w:t>
      </w:r>
    </w:p>
    <w:p w14:paraId="2F3A36A1"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674E77CE" w14:textId="77777777"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CMNTSRCURN</w:t>
      </w:r>
      <w:r w:rsidRPr="00CE66A0">
        <w:rPr>
          <w:rFonts w:ascii="Helvetica" w:hAnsi="Helvetica" w:cs="Helvetica"/>
          <w:sz w:val="20"/>
          <w:szCs w:val="20"/>
        </w:rPr>
        <w:t> is the CTS ahcip URN for the source where this commentary is first made</w:t>
      </w:r>
    </w:p>
    <w:p w14:paraId="48571851"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504CA647" w14:textId="77777777"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CMNTTYPE</w:t>
      </w:r>
      <w:r w:rsidRPr="00CE66A0">
        <w:rPr>
          <w:rFonts w:ascii="Helvetica" w:hAnsi="Helvetica" w:cs="Helvetica"/>
          <w:sz w:val="20"/>
          <w:szCs w:val="20"/>
        </w:rPr>
        <w:t> is a brief notation of what type of commentary this is. Examples: "reference", "reference to scholia", "translation", "scholia quoted and translated", "reference to I.20.188-194", "Plato’s text of the verses quoted and translated as part of Hippias Minor 369d-370a", and [the winner of the prize for least brief notation]: "reference in the list of passages where the threat of fire to Achaeans from the Trojans is formalized in the theme of “Hektor will burn the ships of the Achaeans”" .  </w:t>
      </w:r>
    </w:p>
    <w:p w14:paraId="2793DD3E" w14:textId="77777777" w:rsidR="00CE66A0" w:rsidRPr="00CE66A0" w:rsidRDefault="00CE66A0" w:rsidP="00CE66A0">
      <w:pPr>
        <w:widowControl w:val="0"/>
        <w:autoSpaceDE w:val="0"/>
        <w:autoSpaceDN w:val="0"/>
        <w:adjustRightInd w:val="0"/>
        <w:ind w:left="720"/>
        <w:rPr>
          <w:rFonts w:ascii="Helvetica" w:hAnsi="Helvetica" w:cs="Helvetica"/>
          <w:sz w:val="20"/>
          <w:szCs w:val="20"/>
        </w:rPr>
      </w:pPr>
      <w:r>
        <w:rPr>
          <w:rFonts w:ascii="Helvetica" w:hAnsi="Helvetica" w:cs="Helvetica"/>
          <w:b/>
          <w:sz w:val="20"/>
          <w:szCs w:val="20"/>
        </w:rPr>
        <w:t xml:space="preserve">Note: </w:t>
      </w:r>
      <w:r w:rsidRPr="00CE66A0">
        <w:rPr>
          <w:rFonts w:ascii="Helvetica" w:hAnsi="Helvetica" w:cs="Helvetica"/>
          <w:sz w:val="20"/>
          <w:szCs w:val="20"/>
        </w:rPr>
        <w:t>While I suspect that this was originally intended to be one of a fixed set of values from a taxonomy of commentary types, our human annotators were not so instructed ... or they got carried away in their thoroughness. There are about 169 different variants in this field. This is probably something that will have to be fixed in the editing system maybe.</w:t>
      </w:r>
    </w:p>
    <w:p w14:paraId="6E9B5921"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58B73D60" w14:textId="77777777"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CMNTTEXT</w:t>
      </w:r>
      <w:r w:rsidRPr="00CE66A0">
        <w:rPr>
          <w:rFonts w:ascii="Helvetica" w:hAnsi="Helvetica" w:cs="Helvetica"/>
          <w:sz w:val="20"/>
          <w:szCs w:val="20"/>
        </w:rPr>
        <w:t xml:space="preserve"> is a string of text that is </w:t>
      </w:r>
      <w:r w:rsidR="00CF0AA7">
        <w:rPr>
          <w:rFonts w:ascii="Helvetica" w:hAnsi="Helvetica" w:cs="Helvetica"/>
          <w:sz w:val="20"/>
          <w:szCs w:val="20"/>
        </w:rPr>
        <w:t>t</w:t>
      </w:r>
      <w:r w:rsidRPr="00CE66A0">
        <w:rPr>
          <w:rFonts w:ascii="Helvetica" w:hAnsi="Helvetica" w:cs="Helvetica"/>
          <w:sz w:val="20"/>
          <w:szCs w:val="20"/>
        </w:rPr>
        <w:t xml:space="preserve">he </w:t>
      </w:r>
      <w:r w:rsidR="00CF0AA7">
        <w:rPr>
          <w:rFonts w:ascii="Helvetica" w:hAnsi="Helvetica" w:cs="Helvetica"/>
          <w:sz w:val="20"/>
          <w:szCs w:val="20"/>
        </w:rPr>
        <w:t xml:space="preserve">initial </w:t>
      </w:r>
      <w:r w:rsidRPr="00CE66A0">
        <w:rPr>
          <w:rFonts w:ascii="Helvetica" w:hAnsi="Helvetica" w:cs="Helvetica"/>
          <w:sz w:val="20"/>
          <w:szCs w:val="20"/>
        </w:rPr>
        <w:t>commentary itself</w:t>
      </w:r>
      <w:r w:rsidR="00CF0AA7">
        <w:rPr>
          <w:rFonts w:ascii="Helvetica" w:hAnsi="Helvetica" w:cs="Helvetica"/>
          <w:sz w:val="20"/>
          <w:szCs w:val="20"/>
        </w:rPr>
        <w:t>.</w:t>
      </w:r>
    </w:p>
    <w:p w14:paraId="08BA656B" w14:textId="77777777" w:rsidR="00CF0AA7" w:rsidRPr="00CE66A0" w:rsidRDefault="00CF0AA7" w:rsidP="00CE66A0">
      <w:pPr>
        <w:widowControl w:val="0"/>
        <w:autoSpaceDE w:val="0"/>
        <w:autoSpaceDN w:val="0"/>
        <w:adjustRightInd w:val="0"/>
        <w:rPr>
          <w:rFonts w:ascii="Helvetica" w:hAnsi="Helvetica" w:cs="Helvetica"/>
          <w:sz w:val="20"/>
          <w:szCs w:val="20"/>
        </w:rPr>
      </w:pPr>
    </w:p>
    <w:p w14:paraId="71D16FAB" w14:textId="77777777"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I believe that</w:t>
      </w:r>
      <w:r w:rsidRPr="00CE66A0">
        <w:rPr>
          <w:rFonts w:ascii="Helvetica" w:hAnsi="Helvetica" w:cs="Helvetica"/>
          <w:b/>
          <w:bCs/>
          <w:sz w:val="20"/>
          <w:szCs w:val="20"/>
        </w:rPr>
        <w:t> CMNTTYPE</w:t>
      </w:r>
      <w:r w:rsidRPr="00CE66A0">
        <w:rPr>
          <w:rFonts w:ascii="Helvetica" w:hAnsi="Helvetica" w:cs="Helvetica"/>
          <w:sz w:val="20"/>
          <w:szCs w:val="20"/>
        </w:rPr>
        <w:t xml:space="preserve"> and </w:t>
      </w:r>
      <w:r w:rsidRPr="00CE66A0">
        <w:rPr>
          <w:rFonts w:ascii="Helvetica" w:hAnsi="Helvetica" w:cs="Helvetica"/>
          <w:b/>
          <w:bCs/>
          <w:sz w:val="20"/>
          <w:szCs w:val="20"/>
        </w:rPr>
        <w:t>CMNTTEXT</w:t>
      </w:r>
      <w:r>
        <w:rPr>
          <w:rFonts w:ascii="Helvetica" w:hAnsi="Helvetica" w:cs="Helvetica"/>
          <w:sz w:val="20"/>
          <w:szCs w:val="20"/>
        </w:rPr>
        <w:t> will be ingested "as is"</w:t>
      </w:r>
    </w:p>
    <w:p w14:paraId="0AB5DD00" w14:textId="77777777" w:rsidR="00CE66A0" w:rsidRDefault="00CE66A0" w:rsidP="00CE66A0">
      <w:pPr>
        <w:widowControl w:val="0"/>
        <w:autoSpaceDE w:val="0"/>
        <w:autoSpaceDN w:val="0"/>
        <w:adjustRightInd w:val="0"/>
        <w:rPr>
          <w:rFonts w:ascii="Helvetica" w:hAnsi="Helvetica" w:cs="Helvetica"/>
          <w:sz w:val="20"/>
          <w:szCs w:val="20"/>
        </w:rPr>
      </w:pPr>
    </w:p>
    <w:p w14:paraId="7DEBEF6F" w14:textId="77777777" w:rsidR="00CE66A0" w:rsidRPr="00CE66A0" w:rsidRDefault="00CE66A0" w:rsidP="00CE66A0">
      <w:pPr>
        <w:widowControl w:val="0"/>
        <w:autoSpaceDE w:val="0"/>
        <w:autoSpaceDN w:val="0"/>
        <w:adjustRightInd w:val="0"/>
        <w:ind w:left="720"/>
        <w:rPr>
          <w:rFonts w:ascii="Helvetica" w:hAnsi="Helvetica" w:cs="Helvetica"/>
          <w:i/>
          <w:sz w:val="20"/>
          <w:szCs w:val="20"/>
        </w:rPr>
      </w:pPr>
      <w:r>
        <w:rPr>
          <w:rFonts w:ascii="Helvetica" w:hAnsi="Helvetica" w:cs="Helvetica"/>
          <w:b/>
          <w:sz w:val="20"/>
          <w:szCs w:val="20"/>
        </w:rPr>
        <w:t>Caveat Programmer:</w:t>
      </w:r>
      <w:r w:rsidRPr="00CE66A0">
        <w:rPr>
          <w:rFonts w:ascii="Helvetica" w:hAnsi="Helvetica" w:cs="Helvetica"/>
          <w:i/>
          <w:sz w:val="20"/>
          <w:szCs w:val="20"/>
        </w:rPr>
        <w:t xml:space="preserve"> </w:t>
      </w:r>
      <w:r w:rsidRPr="00CE66A0">
        <w:rPr>
          <w:rFonts w:ascii="Helvetica" w:hAnsi="Helvetica" w:cs="Helvetica"/>
          <w:b/>
          <w:bCs/>
          <w:i/>
          <w:sz w:val="20"/>
          <w:szCs w:val="20"/>
        </w:rPr>
        <w:t>if</w:t>
      </w:r>
      <w:r w:rsidRPr="00CE66A0">
        <w:rPr>
          <w:rFonts w:ascii="Helvetica" w:hAnsi="Helvetica" w:cs="Helvetica"/>
          <w:i/>
          <w:sz w:val="20"/>
          <w:szCs w:val="20"/>
        </w:rPr>
        <w:t xml:space="preserve"> it is desirable to actually have a taxonomy of commentary "types" in the system, that I recommend that a separate field be allocated for it in the data model and that what is uploaded as </w:t>
      </w:r>
      <w:r w:rsidRPr="00CE66A0">
        <w:rPr>
          <w:rFonts w:ascii="Helvetica" w:hAnsi="Helvetica" w:cs="Helvetica"/>
          <w:b/>
          <w:bCs/>
          <w:i/>
          <w:sz w:val="20"/>
          <w:szCs w:val="20"/>
        </w:rPr>
        <w:t>CMNTTYPE</w:t>
      </w:r>
      <w:r w:rsidRPr="00CE66A0">
        <w:rPr>
          <w:rFonts w:ascii="Helvetica" w:hAnsi="Helvetica" w:cs="Helvetica"/>
          <w:i/>
          <w:sz w:val="20"/>
          <w:szCs w:val="20"/>
        </w:rPr>
        <w:t xml:space="preserve"> be stored as a "hint" for what the value of the commentary type should be set to when editing the commentary. If we have an initial list of what the initial items in that taxonomy should be, the ingest process can make an educated guess (e.g., if </w:t>
      </w:r>
      <w:r w:rsidRPr="00CE66A0">
        <w:rPr>
          <w:rFonts w:ascii="Helvetica" w:hAnsi="Helvetica" w:cs="Helvetica"/>
          <w:b/>
          <w:bCs/>
          <w:i/>
          <w:sz w:val="20"/>
          <w:szCs w:val="20"/>
        </w:rPr>
        <w:t>CMNTTYPE</w:t>
      </w:r>
      <w:r w:rsidRPr="00CE66A0">
        <w:rPr>
          <w:rFonts w:ascii="Helvetica" w:hAnsi="Helvetica" w:cs="Helvetica"/>
          <w:i/>
          <w:sz w:val="20"/>
          <w:szCs w:val="20"/>
        </w:rPr>
        <w:t> == "reference" and 'reference' is in the taxonomy, then set that value on ingest. Otherwise that value should be blank and the editor should set it from a controlled vocabulary menu (with the flexibility to add new types to the system as needed).</w:t>
      </w:r>
    </w:p>
    <w:p w14:paraId="5F4D7C7E"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3AADE1B0"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3BB7F6B4" w14:textId="77777777"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The format of a </w:t>
      </w:r>
      <w:r w:rsidRPr="00CE66A0">
        <w:rPr>
          <w:rFonts w:ascii="Helvetica" w:hAnsi="Helvetica" w:cs="Helvetica"/>
          <w:b/>
          <w:bCs/>
          <w:sz w:val="20"/>
          <w:szCs w:val="20"/>
        </w:rPr>
        <w:t>PRIMSRCURN</w:t>
      </w:r>
      <w:r w:rsidRPr="00CE66A0">
        <w:rPr>
          <w:rFonts w:ascii="Helvetica" w:hAnsi="Helvetica" w:cs="Helvetica"/>
          <w:sz w:val="20"/>
          <w:szCs w:val="20"/>
        </w:rPr>
        <w:t> is as follows:</w:t>
      </w:r>
    </w:p>
    <w:p w14:paraId="1B802219"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1DA8D03B" w14:textId="77777777" w:rsidR="00CE66A0" w:rsidRP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urn:cts:greekLit:</w:t>
      </w:r>
      <w:r w:rsidRPr="00CE66A0">
        <w:rPr>
          <w:rFonts w:ascii="Helvetica" w:hAnsi="Helvetica" w:cs="Helvetica"/>
          <w:b/>
          <w:bCs/>
          <w:sz w:val="20"/>
          <w:szCs w:val="20"/>
        </w:rPr>
        <w:t>PSWORK</w:t>
      </w:r>
      <w:r w:rsidRPr="00CE66A0">
        <w:rPr>
          <w:rFonts w:ascii="Helvetica" w:hAnsi="Helvetica" w:cs="Helvetica"/>
          <w:sz w:val="20"/>
          <w:szCs w:val="20"/>
        </w:rPr>
        <w:t>:</w:t>
      </w:r>
      <w:r w:rsidRPr="00CE66A0">
        <w:rPr>
          <w:rFonts w:ascii="Helvetica" w:hAnsi="Helvetica" w:cs="Helvetica"/>
          <w:b/>
          <w:bCs/>
          <w:sz w:val="20"/>
          <w:szCs w:val="20"/>
        </w:rPr>
        <w:t>PSPASSAGE</w:t>
      </w:r>
    </w:p>
    <w:p w14:paraId="70493548"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438E00CB" w14:textId="77777777" w:rsidR="00CE66A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sz w:val="20"/>
          <w:szCs w:val="20"/>
        </w:rPr>
        <w:t xml:space="preserve">where </w:t>
      </w:r>
      <w:r w:rsidRPr="00CE66A0">
        <w:rPr>
          <w:rFonts w:ascii="Helvetica" w:hAnsi="Helvetica" w:cs="Helvetica"/>
          <w:b/>
          <w:bCs/>
          <w:sz w:val="20"/>
          <w:szCs w:val="20"/>
        </w:rPr>
        <w:t>PSWORK</w:t>
      </w:r>
      <w:r w:rsidRPr="00CE66A0">
        <w:rPr>
          <w:rFonts w:ascii="Helvetica" w:hAnsi="Helvetica" w:cs="Helvetica"/>
          <w:sz w:val="20"/>
          <w:szCs w:val="20"/>
        </w:rPr>
        <w:t xml:space="preserve"> will come from a well-defined set of strings, such as </w:t>
      </w:r>
      <w:r w:rsidR="006650F5">
        <w:rPr>
          <w:rFonts w:ascii="Helvetica" w:hAnsi="Helvetica" w:cs="Helvetica"/>
          <w:sz w:val="20"/>
          <w:szCs w:val="20"/>
        </w:rPr>
        <w:t>t</w:t>
      </w:r>
      <w:r w:rsidRPr="00CE66A0">
        <w:rPr>
          <w:rFonts w:ascii="Helvetica" w:hAnsi="Helvetica" w:cs="Helvetica"/>
          <w:sz w:val="20"/>
          <w:szCs w:val="20"/>
        </w:rPr>
        <w:t xml:space="preserve">lg0012.tlg001 for Homer's </w:t>
      </w:r>
      <w:r w:rsidRPr="00CE66A0">
        <w:rPr>
          <w:rFonts w:ascii="Helvetica" w:hAnsi="Helvetica" w:cs="Helvetica"/>
          <w:i/>
          <w:iCs/>
          <w:sz w:val="20"/>
          <w:szCs w:val="20"/>
        </w:rPr>
        <w:t>Iliad</w:t>
      </w:r>
      <w:r w:rsidRPr="00CE66A0">
        <w:rPr>
          <w:rFonts w:ascii="Helvetica" w:hAnsi="Helvetica" w:cs="Helvetica"/>
          <w:sz w:val="20"/>
          <w:szCs w:val="20"/>
        </w:rPr>
        <w:t> </w:t>
      </w:r>
      <w:r w:rsidR="006650F5">
        <w:rPr>
          <w:rFonts w:ascii="Helvetica" w:hAnsi="Helvetica" w:cs="Helvetica"/>
          <w:sz w:val="20"/>
          <w:szCs w:val="20"/>
        </w:rPr>
        <w:t xml:space="preserve"> </w:t>
      </w:r>
      <w:r w:rsidRPr="00CE66A0">
        <w:rPr>
          <w:rFonts w:ascii="Helvetica" w:hAnsi="Helvetica" w:cs="Helvetica"/>
          <w:sz w:val="20"/>
          <w:szCs w:val="20"/>
        </w:rPr>
        <w:t xml:space="preserve">tlg0013.tlg003 for </w:t>
      </w:r>
      <w:r w:rsidRPr="00CE66A0">
        <w:rPr>
          <w:rFonts w:ascii="Helvetica" w:hAnsi="Helvetica" w:cs="Helvetica"/>
          <w:i/>
          <w:iCs/>
          <w:sz w:val="20"/>
          <w:szCs w:val="20"/>
        </w:rPr>
        <w:t>Homeric Hymn</w:t>
      </w:r>
      <w:r w:rsidR="00EA0C62">
        <w:rPr>
          <w:rFonts w:ascii="Helvetica" w:hAnsi="Helvetica" w:cs="Helvetica"/>
          <w:i/>
          <w:iCs/>
          <w:sz w:val="20"/>
          <w:szCs w:val="20"/>
        </w:rPr>
        <w:t xml:space="preserve"> 3</w:t>
      </w:r>
      <w:r w:rsidRPr="00CE66A0">
        <w:rPr>
          <w:rFonts w:ascii="Helvetica" w:hAnsi="Helvetica" w:cs="Helvetica"/>
          <w:i/>
          <w:iCs/>
          <w:sz w:val="20"/>
          <w:szCs w:val="20"/>
        </w:rPr>
        <w:t xml:space="preserve"> </w:t>
      </w:r>
      <w:r w:rsidR="00EA0C62" w:rsidRPr="00EA0C62">
        <w:rPr>
          <w:rFonts w:ascii="Helvetica" w:hAnsi="Helvetica" w:cs="Helvetica"/>
          <w:iCs/>
          <w:sz w:val="20"/>
          <w:szCs w:val="20"/>
        </w:rPr>
        <w:t>(</w:t>
      </w:r>
      <w:r w:rsidRPr="00EA0C62">
        <w:rPr>
          <w:rFonts w:ascii="Helvetica" w:hAnsi="Helvetica" w:cs="Helvetica"/>
          <w:iCs/>
          <w:sz w:val="20"/>
          <w:szCs w:val="20"/>
        </w:rPr>
        <w:t>to Apollo</w:t>
      </w:r>
      <w:r w:rsidR="00EA0C62" w:rsidRPr="00EA0C62">
        <w:rPr>
          <w:rFonts w:ascii="Helvetica" w:hAnsi="Helvetica" w:cs="Helvetica"/>
          <w:iCs/>
          <w:sz w:val="20"/>
          <w:szCs w:val="20"/>
        </w:rPr>
        <w:t>)</w:t>
      </w:r>
      <w:r>
        <w:rPr>
          <w:rFonts w:ascii="Helvetica" w:hAnsi="Helvetica" w:cs="Helvetica"/>
          <w:sz w:val="20"/>
          <w:szCs w:val="20"/>
        </w:rPr>
        <w:t>, etc.</w:t>
      </w:r>
      <w:r w:rsidR="002E0100">
        <w:rPr>
          <w:rFonts w:ascii="Helvetica" w:hAnsi="Helvetica" w:cs="Helvetica"/>
          <w:sz w:val="20"/>
          <w:szCs w:val="20"/>
        </w:rPr>
        <w:t xml:space="preserve"> There will be a complete list with correct Human-readable names.</w:t>
      </w:r>
    </w:p>
    <w:p w14:paraId="39C14C7B" w14:textId="77777777" w:rsidR="008C2D83" w:rsidRDefault="008C2D83" w:rsidP="00CE66A0">
      <w:pPr>
        <w:widowControl w:val="0"/>
        <w:autoSpaceDE w:val="0"/>
        <w:autoSpaceDN w:val="0"/>
        <w:adjustRightInd w:val="0"/>
        <w:rPr>
          <w:rFonts w:ascii="Helvetica" w:hAnsi="Helvetica" w:cs="Helvetica"/>
          <w:sz w:val="20"/>
          <w:szCs w:val="20"/>
        </w:rPr>
      </w:pPr>
    </w:p>
    <w:p w14:paraId="479FD144" w14:textId="77777777" w:rsidR="00CE66A0" w:rsidRPr="008C2D83" w:rsidRDefault="002E0100" w:rsidP="002E0100">
      <w:pPr>
        <w:widowControl w:val="0"/>
        <w:autoSpaceDE w:val="0"/>
        <w:autoSpaceDN w:val="0"/>
        <w:adjustRightInd w:val="0"/>
        <w:ind w:left="720"/>
        <w:rPr>
          <w:rFonts w:ascii="Helvetica" w:hAnsi="Helvetica" w:cs="Helvetica"/>
          <w:sz w:val="20"/>
          <w:szCs w:val="20"/>
        </w:rPr>
      </w:pPr>
      <w:r>
        <w:rPr>
          <w:rFonts w:ascii="Helvetica" w:hAnsi="Helvetica" w:cs="Helvetica"/>
          <w:b/>
          <w:sz w:val="20"/>
          <w:szCs w:val="20"/>
        </w:rPr>
        <w:t>Caveat Programmer:</w:t>
      </w:r>
      <w:r>
        <w:rPr>
          <w:rFonts w:ascii="Helvetica" w:hAnsi="Helvetica" w:cs="Helvetica"/>
          <w:sz w:val="20"/>
          <w:szCs w:val="20"/>
        </w:rPr>
        <w:t xml:space="preserve"> there are </w:t>
      </w:r>
      <w:r w:rsidR="00CE66A0" w:rsidRPr="00CE66A0">
        <w:rPr>
          <w:rFonts w:ascii="Helvetica" w:hAnsi="Helvetica" w:cs="Helvetica"/>
          <w:sz w:val="20"/>
          <w:szCs w:val="20"/>
        </w:rPr>
        <w:t xml:space="preserve">two optional components of </w:t>
      </w:r>
      <w:r w:rsidR="00CE66A0" w:rsidRPr="00CE66A0">
        <w:rPr>
          <w:rFonts w:ascii="Helvetica" w:hAnsi="Helvetica" w:cs="Helvetica"/>
          <w:b/>
          <w:bCs/>
          <w:sz w:val="20"/>
          <w:szCs w:val="20"/>
        </w:rPr>
        <w:t>PSWORK</w:t>
      </w:r>
      <w:r w:rsidR="00CE66A0" w:rsidRPr="00CE66A0">
        <w:rPr>
          <w:rFonts w:ascii="Helvetica" w:hAnsi="Helvetica" w:cs="Helvetica"/>
          <w:sz w:val="20"/>
          <w:szCs w:val="20"/>
        </w:rPr>
        <w:t> that we're not using presently that can be used to point to a specific version and instance ("exemplar" in the </w:t>
      </w:r>
      <w:hyperlink r:id="rId8" w:history="1">
        <w:r w:rsidR="00CE66A0" w:rsidRPr="00CE66A0">
          <w:rPr>
            <w:rFonts w:ascii="Helvetica" w:hAnsi="Helvetica" w:cs="Helvetica"/>
            <w:color w:val="386EFF"/>
            <w:sz w:val="20"/>
            <w:szCs w:val="20"/>
            <w:u w:val="single" w:color="386EFF"/>
          </w:rPr>
          <w:t>CTS URN specification</w:t>
        </w:r>
      </w:hyperlink>
      <w:r w:rsidR="00CE66A0" w:rsidRPr="00CE66A0">
        <w:rPr>
          <w:rFonts w:ascii="Helvetica" w:hAnsi="Helvetica" w:cs="Helvetica"/>
          <w:sz w:val="20"/>
          <w:szCs w:val="20"/>
        </w:rPr>
        <w:t>). It is something to keep far in the back of our minds if AHCIP is going to actually refer to and/or retrieve text from other online sources, that we'll have to map between these abstract text references and a URI (with embedded full CTS URN) of the text.</w:t>
      </w:r>
      <w:r w:rsidR="008C2D83">
        <w:rPr>
          <w:rFonts w:ascii="Helvetica" w:hAnsi="Helvetica" w:cs="Helvetica"/>
          <w:sz w:val="20"/>
          <w:szCs w:val="20"/>
        </w:rPr>
        <w:t xml:space="preserve"> It is also valid for a CTS URN to be suffixed with a </w:t>
      </w:r>
      <w:r w:rsidR="008C2D83">
        <w:rPr>
          <w:rFonts w:ascii="Helvetica" w:hAnsi="Helvetica" w:cs="Helvetica"/>
          <w:b/>
          <w:sz w:val="20"/>
          <w:szCs w:val="20"/>
        </w:rPr>
        <w:t>REFERENCE</w:t>
      </w:r>
      <w:r w:rsidR="008C2D83">
        <w:rPr>
          <w:rFonts w:ascii="Helvetica" w:hAnsi="Helvetica" w:cs="Helvetica"/>
          <w:sz w:val="20"/>
          <w:szCs w:val="20"/>
        </w:rPr>
        <w:t xml:space="preserve"> component which begins with an @ and is followed by a word in the referenced passage. </w:t>
      </w:r>
    </w:p>
    <w:p w14:paraId="592BFB96"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075F9A30" w14:textId="77777777" w:rsidR="002E0100" w:rsidRDefault="00CE66A0" w:rsidP="00CE66A0">
      <w:pPr>
        <w:widowControl w:val="0"/>
        <w:autoSpaceDE w:val="0"/>
        <w:autoSpaceDN w:val="0"/>
        <w:adjustRightInd w:val="0"/>
        <w:rPr>
          <w:rFonts w:ascii="Helvetica" w:hAnsi="Helvetica" w:cs="Helvetica"/>
          <w:sz w:val="20"/>
          <w:szCs w:val="20"/>
        </w:rPr>
      </w:pPr>
      <w:r w:rsidRPr="00CE66A0">
        <w:rPr>
          <w:rFonts w:ascii="Helvetica" w:hAnsi="Helvetica" w:cs="Helvetica"/>
          <w:b/>
          <w:bCs/>
          <w:sz w:val="20"/>
          <w:szCs w:val="20"/>
        </w:rPr>
        <w:t>PSPASSAGE</w:t>
      </w:r>
      <w:r w:rsidRPr="00CE66A0">
        <w:rPr>
          <w:rFonts w:ascii="Helvetica" w:hAnsi="Helvetica" w:cs="Helvetica"/>
          <w:sz w:val="20"/>
          <w:szCs w:val="20"/>
        </w:rPr>
        <w:t xml:space="preserve"> format depends on what </w:t>
      </w:r>
      <w:r w:rsidRPr="00CE66A0">
        <w:rPr>
          <w:rFonts w:ascii="Helvetica" w:hAnsi="Helvetica" w:cs="Helvetica"/>
          <w:b/>
          <w:bCs/>
          <w:sz w:val="20"/>
          <w:szCs w:val="20"/>
        </w:rPr>
        <w:t>PSWORK</w:t>
      </w:r>
      <w:r w:rsidR="002E0100">
        <w:rPr>
          <w:rFonts w:ascii="Helvetica" w:hAnsi="Helvetica" w:cs="Helvetica"/>
          <w:sz w:val="20"/>
          <w:szCs w:val="20"/>
        </w:rPr>
        <w:t> is:</w:t>
      </w:r>
    </w:p>
    <w:p w14:paraId="79AADE1A" w14:textId="77777777" w:rsidR="00EA0C62" w:rsidRDefault="00EA0C62" w:rsidP="00CE66A0">
      <w:pPr>
        <w:widowControl w:val="0"/>
        <w:autoSpaceDE w:val="0"/>
        <w:autoSpaceDN w:val="0"/>
        <w:adjustRightInd w:val="0"/>
        <w:rPr>
          <w:rFonts w:ascii="Helvetica" w:hAnsi="Helvetica" w:cs="Helvetica"/>
          <w:sz w:val="20"/>
          <w:szCs w:val="20"/>
        </w:rPr>
      </w:pPr>
    </w:p>
    <w:p w14:paraId="2B179444" w14:textId="77777777" w:rsidR="00EA0C62" w:rsidRPr="00EA0C62" w:rsidRDefault="00CE66A0" w:rsidP="00EA0C62">
      <w:pPr>
        <w:pStyle w:val="ListParagraph"/>
        <w:widowControl w:val="0"/>
        <w:numPr>
          <w:ilvl w:val="0"/>
          <w:numId w:val="1"/>
        </w:numPr>
        <w:autoSpaceDE w:val="0"/>
        <w:autoSpaceDN w:val="0"/>
        <w:adjustRightInd w:val="0"/>
        <w:rPr>
          <w:rFonts w:ascii="Helvetica" w:hAnsi="Helvetica" w:cs="Helvetica"/>
          <w:sz w:val="20"/>
          <w:szCs w:val="20"/>
        </w:rPr>
      </w:pPr>
      <w:r w:rsidRPr="00EA0C62">
        <w:rPr>
          <w:rFonts w:ascii="Helvetica" w:hAnsi="Helvetica" w:cs="Helvetica"/>
          <w:sz w:val="20"/>
          <w:szCs w:val="20"/>
        </w:rPr>
        <w:t xml:space="preserve">Where </w:t>
      </w:r>
      <w:r w:rsidRPr="00EA0C62">
        <w:rPr>
          <w:rFonts w:ascii="Helvetica" w:hAnsi="Helvetica" w:cs="Helvetica"/>
          <w:b/>
          <w:bCs/>
          <w:sz w:val="20"/>
          <w:szCs w:val="20"/>
        </w:rPr>
        <w:t>PSWORK</w:t>
      </w:r>
      <w:r w:rsidRPr="00EA0C62">
        <w:rPr>
          <w:rFonts w:ascii="Helvetica" w:hAnsi="Helvetica" w:cs="Helvetica"/>
          <w:sz w:val="20"/>
          <w:szCs w:val="20"/>
        </w:rPr>
        <w:t> </w:t>
      </w:r>
      <w:r w:rsidR="008C2D83">
        <w:rPr>
          <w:rFonts w:ascii="Helvetica" w:hAnsi="Helvetica" w:cs="Helvetica"/>
          <w:sz w:val="20"/>
          <w:szCs w:val="20"/>
        </w:rPr>
        <w:t>begins with</w:t>
      </w:r>
      <w:r w:rsidRPr="00EA0C62">
        <w:rPr>
          <w:rFonts w:ascii="Helvetica" w:hAnsi="Helvetica" w:cs="Helvetica"/>
          <w:sz w:val="20"/>
          <w:szCs w:val="20"/>
        </w:rPr>
        <w:t xml:space="preserve"> tlg0012.</w:t>
      </w:r>
      <w:r w:rsidR="008C2D83">
        <w:rPr>
          <w:rFonts w:ascii="Helvetica" w:hAnsi="Helvetica" w:cs="Helvetica"/>
          <w:sz w:val="20"/>
          <w:szCs w:val="20"/>
        </w:rPr>
        <w:t>*  (</w:t>
      </w:r>
      <w:r w:rsidR="008C2D83">
        <w:rPr>
          <w:rFonts w:ascii="Helvetica" w:hAnsi="Helvetica" w:cs="Helvetica"/>
          <w:i/>
          <w:sz w:val="20"/>
          <w:szCs w:val="20"/>
        </w:rPr>
        <w:t xml:space="preserve">Iliad </w:t>
      </w:r>
      <w:r w:rsidR="008C2D83">
        <w:rPr>
          <w:rFonts w:ascii="Helvetica" w:hAnsi="Helvetica" w:cs="Helvetica"/>
          <w:sz w:val="20"/>
          <w:szCs w:val="20"/>
        </w:rPr>
        <w:t xml:space="preserve"> and </w:t>
      </w:r>
      <w:r w:rsidR="008C2D83">
        <w:rPr>
          <w:rFonts w:ascii="Helvetica" w:hAnsi="Helvetica" w:cs="Helvetica"/>
          <w:i/>
          <w:sz w:val="20"/>
          <w:szCs w:val="20"/>
        </w:rPr>
        <w:t xml:space="preserve">Odyssey) </w:t>
      </w:r>
      <w:r w:rsidRPr="008C2D83">
        <w:rPr>
          <w:rFonts w:ascii="Helvetica" w:hAnsi="Helvetica" w:cs="Helvetica"/>
          <w:sz w:val="20"/>
          <w:szCs w:val="20"/>
        </w:rPr>
        <w:t>the</w:t>
      </w:r>
      <w:r w:rsidRPr="00EA0C62">
        <w:rPr>
          <w:rFonts w:ascii="Helvetica" w:hAnsi="Helvetica" w:cs="Helvetica"/>
          <w:sz w:val="20"/>
          <w:szCs w:val="20"/>
        </w:rPr>
        <w:t xml:space="preserve"> format will be either </w:t>
      </w:r>
      <w:r w:rsidRPr="00EA0C62">
        <w:rPr>
          <w:rFonts w:ascii="Helvetica" w:hAnsi="Helvetica" w:cs="Helvetica"/>
          <w:b/>
          <w:bCs/>
          <w:sz w:val="20"/>
          <w:szCs w:val="20"/>
        </w:rPr>
        <w:t>BOOK</w:t>
      </w:r>
      <w:r w:rsidRPr="00EA0C62">
        <w:rPr>
          <w:rFonts w:ascii="Helvetica" w:hAnsi="Helvetica" w:cs="Helvetica"/>
          <w:sz w:val="20"/>
          <w:szCs w:val="20"/>
        </w:rPr>
        <w:t>.</w:t>
      </w:r>
      <w:r w:rsidRPr="00EA0C62">
        <w:rPr>
          <w:rFonts w:ascii="Helvetica" w:hAnsi="Helvetica" w:cs="Helvetica"/>
          <w:b/>
          <w:bCs/>
          <w:sz w:val="20"/>
          <w:szCs w:val="20"/>
        </w:rPr>
        <w:t>LINE</w:t>
      </w:r>
      <w:r w:rsidRPr="00EA0C62">
        <w:rPr>
          <w:rFonts w:ascii="Helvetica" w:hAnsi="Helvetica" w:cs="Helvetica"/>
          <w:sz w:val="20"/>
          <w:szCs w:val="20"/>
        </w:rPr>
        <w:t xml:space="preserve"> or a range </w:t>
      </w:r>
      <w:r w:rsidRPr="00EA0C62">
        <w:rPr>
          <w:rFonts w:ascii="Helvetica" w:hAnsi="Helvetica" w:cs="Helvetica"/>
          <w:b/>
          <w:bCs/>
          <w:sz w:val="20"/>
          <w:szCs w:val="20"/>
        </w:rPr>
        <w:t>BOOK1</w:t>
      </w:r>
      <w:r w:rsidRPr="00EA0C62">
        <w:rPr>
          <w:rFonts w:ascii="Helvetica" w:hAnsi="Helvetica" w:cs="Helvetica"/>
          <w:sz w:val="20"/>
          <w:szCs w:val="20"/>
        </w:rPr>
        <w:t>.</w:t>
      </w:r>
      <w:r w:rsidRPr="00EA0C62">
        <w:rPr>
          <w:rFonts w:ascii="Helvetica" w:hAnsi="Helvetica" w:cs="Helvetica"/>
          <w:b/>
          <w:bCs/>
          <w:sz w:val="20"/>
          <w:szCs w:val="20"/>
        </w:rPr>
        <w:t>LINE1</w:t>
      </w:r>
      <w:r w:rsidRPr="00EA0C62">
        <w:rPr>
          <w:rFonts w:ascii="Helvetica" w:hAnsi="Helvetica" w:cs="Helvetica"/>
          <w:sz w:val="20"/>
          <w:szCs w:val="20"/>
        </w:rPr>
        <w:t>-</w:t>
      </w:r>
      <w:r w:rsidRPr="00EA0C62">
        <w:rPr>
          <w:rFonts w:ascii="Helvetica" w:hAnsi="Helvetica" w:cs="Helvetica"/>
          <w:b/>
          <w:bCs/>
          <w:sz w:val="20"/>
          <w:szCs w:val="20"/>
        </w:rPr>
        <w:t>BOOK2</w:t>
      </w:r>
      <w:r w:rsidRPr="00EA0C62">
        <w:rPr>
          <w:rFonts w:ascii="Helvetica" w:hAnsi="Helvetica" w:cs="Helvetica"/>
          <w:sz w:val="20"/>
          <w:szCs w:val="20"/>
        </w:rPr>
        <w:t>.</w:t>
      </w:r>
      <w:r w:rsidRPr="00EA0C62">
        <w:rPr>
          <w:rFonts w:ascii="Helvetica" w:hAnsi="Helvetica" w:cs="Helvetica"/>
          <w:b/>
          <w:bCs/>
          <w:sz w:val="20"/>
          <w:szCs w:val="20"/>
        </w:rPr>
        <w:t>LINE2</w:t>
      </w:r>
      <w:r w:rsidRPr="00EA0C62">
        <w:rPr>
          <w:rFonts w:ascii="Helvetica" w:hAnsi="Helvetica" w:cs="Helvetica"/>
          <w:sz w:val="20"/>
          <w:szCs w:val="20"/>
        </w:rPr>
        <w:t xml:space="preserve"> ... where </w:t>
      </w:r>
      <w:r w:rsidRPr="00EA0C62">
        <w:rPr>
          <w:rFonts w:ascii="Helvetica" w:hAnsi="Helvetica" w:cs="Helvetica"/>
          <w:b/>
          <w:bCs/>
          <w:sz w:val="20"/>
          <w:szCs w:val="20"/>
        </w:rPr>
        <w:t>BOOK*</w:t>
      </w:r>
      <w:r w:rsidRPr="00EA0C62">
        <w:rPr>
          <w:rFonts w:ascii="Helvetica" w:hAnsi="Helvetica" w:cs="Helvetica"/>
          <w:sz w:val="20"/>
          <w:szCs w:val="20"/>
        </w:rPr>
        <w:t xml:space="preserve"> is always an integer &gt; 0 and </w:t>
      </w:r>
      <w:r w:rsidRPr="00EA0C62">
        <w:rPr>
          <w:rFonts w:ascii="Helvetica" w:hAnsi="Helvetica" w:cs="Helvetica"/>
          <w:b/>
          <w:bCs/>
          <w:sz w:val="20"/>
          <w:szCs w:val="20"/>
        </w:rPr>
        <w:t>LINE*</w:t>
      </w:r>
      <w:r w:rsidRPr="00EA0C62">
        <w:rPr>
          <w:rFonts w:ascii="Helvetica" w:hAnsi="Helvetica" w:cs="Helvetica"/>
          <w:sz w:val="20"/>
          <w:szCs w:val="20"/>
        </w:rPr>
        <w:t> is either an integer &gt; 0</w:t>
      </w:r>
      <w:r w:rsidR="008C2D83">
        <w:rPr>
          <w:rFonts w:ascii="Helvetica" w:hAnsi="Helvetica" w:cs="Helvetica"/>
          <w:sz w:val="20"/>
          <w:szCs w:val="20"/>
        </w:rPr>
        <w:t xml:space="preserve"> or, in</w:t>
      </w:r>
      <w:r w:rsidR="00025F44" w:rsidRPr="00EA0C62">
        <w:rPr>
          <w:rFonts w:ascii="Helvetica" w:hAnsi="Helvetica" w:cs="Helvetica"/>
          <w:sz w:val="20"/>
          <w:szCs w:val="20"/>
        </w:rPr>
        <w:t xml:space="preserve"> some cases, the integer is suf</w:t>
      </w:r>
      <w:r w:rsidR="005656D4" w:rsidRPr="00EA0C62">
        <w:rPr>
          <w:rFonts w:ascii="Helvetica" w:hAnsi="Helvetica" w:cs="Helvetica"/>
          <w:sz w:val="20"/>
          <w:szCs w:val="20"/>
        </w:rPr>
        <w:t>ffixed with letters or numerals, such as "a" or "b" or "c1" or "f." or "ff.</w:t>
      </w:r>
      <w:r w:rsidR="00EA0C62">
        <w:rPr>
          <w:rFonts w:ascii="Helvetica" w:hAnsi="Helvetica" w:cs="Helvetica"/>
          <w:sz w:val="20"/>
          <w:szCs w:val="20"/>
        </w:rPr>
        <w:t>"</w:t>
      </w:r>
      <w:r w:rsidR="00EA0C62">
        <w:rPr>
          <w:rFonts w:ascii="Helvetica" w:hAnsi="Helvetica" w:cs="Helvetica"/>
          <w:sz w:val="20"/>
          <w:szCs w:val="20"/>
        </w:rPr>
        <w:br/>
      </w:r>
    </w:p>
    <w:p w14:paraId="429FC241" w14:textId="77777777" w:rsidR="002E0100" w:rsidRDefault="002E0100" w:rsidP="00EA0C62">
      <w:pPr>
        <w:widowControl w:val="0"/>
        <w:autoSpaceDE w:val="0"/>
        <w:autoSpaceDN w:val="0"/>
        <w:adjustRightInd w:val="0"/>
        <w:ind w:left="1440"/>
        <w:rPr>
          <w:rFonts w:ascii="Helvetica" w:hAnsi="Helvetica" w:cs="Helvetica"/>
          <w:sz w:val="20"/>
          <w:szCs w:val="20"/>
        </w:rPr>
      </w:pPr>
      <w:r>
        <w:rPr>
          <w:rFonts w:ascii="Helvetica" w:hAnsi="Helvetica" w:cs="Helvetica"/>
          <w:b/>
          <w:sz w:val="20"/>
          <w:szCs w:val="20"/>
        </w:rPr>
        <w:t>Note:</w:t>
      </w:r>
      <w:r>
        <w:rPr>
          <w:rFonts w:ascii="Helvetica" w:hAnsi="Helvetica" w:cs="Helvetica"/>
          <w:sz w:val="20"/>
          <w:szCs w:val="20"/>
        </w:rPr>
        <w:t xml:space="preserve"> I'm waiting for an explanation of what the letters mean.  I am also waiting to hear about whether we are going to keep </w:t>
      </w:r>
      <w:r w:rsidR="00E33D9A">
        <w:rPr>
          <w:rFonts w:ascii="Helvetica" w:hAnsi="Helvetica" w:cs="Helvetica"/>
          <w:sz w:val="20"/>
          <w:szCs w:val="20"/>
        </w:rPr>
        <w:t xml:space="preserve">the references to scholia in the </w:t>
      </w:r>
      <w:r w:rsidR="00E33D9A">
        <w:rPr>
          <w:rFonts w:ascii="Helvetica" w:hAnsi="Helvetica" w:cs="Helvetica"/>
          <w:b/>
          <w:sz w:val="20"/>
          <w:szCs w:val="20"/>
        </w:rPr>
        <w:t>PRIMSRCURN</w:t>
      </w:r>
      <w:r w:rsidR="00E33D9A">
        <w:rPr>
          <w:rFonts w:ascii="Helvetica" w:hAnsi="Helvetica" w:cs="Helvetica"/>
          <w:sz w:val="20"/>
          <w:szCs w:val="20"/>
        </w:rPr>
        <w:t xml:space="preserve"> as an appended "@scholia"</w:t>
      </w:r>
      <w:r w:rsidR="00E33D9A">
        <w:rPr>
          <w:rFonts w:ascii="Helvetica" w:hAnsi="Helvetica" w:cs="Helvetica"/>
          <w:b/>
          <w:sz w:val="20"/>
          <w:szCs w:val="20"/>
        </w:rPr>
        <w:t xml:space="preserve"> </w:t>
      </w:r>
      <w:r w:rsidR="00E33D9A">
        <w:rPr>
          <w:rFonts w:ascii="Helvetica" w:hAnsi="Helvetica" w:cs="Helvetica"/>
          <w:sz w:val="20"/>
          <w:szCs w:val="20"/>
        </w:rPr>
        <w:t xml:space="preserve">... but </w:t>
      </w:r>
      <w:r w:rsidR="005656D4">
        <w:rPr>
          <w:rFonts w:ascii="Helvetica" w:hAnsi="Helvetica" w:cs="Helvetica"/>
          <w:sz w:val="20"/>
          <w:szCs w:val="20"/>
        </w:rPr>
        <w:t xml:space="preserve">I'm not sure that should be in the </w:t>
      </w:r>
      <w:r w:rsidR="008C2D83">
        <w:rPr>
          <w:rFonts w:ascii="Helvetica" w:hAnsi="Helvetica" w:cs="Helvetica"/>
          <w:sz w:val="20"/>
          <w:szCs w:val="20"/>
        </w:rPr>
        <w:t>URNs.</w:t>
      </w:r>
    </w:p>
    <w:p w14:paraId="05EC1162" w14:textId="77777777" w:rsidR="00EA0C62" w:rsidRDefault="00EA0C62" w:rsidP="00EA0C62">
      <w:pPr>
        <w:widowControl w:val="0"/>
        <w:autoSpaceDE w:val="0"/>
        <w:autoSpaceDN w:val="0"/>
        <w:adjustRightInd w:val="0"/>
        <w:ind w:left="1440"/>
        <w:rPr>
          <w:rFonts w:ascii="Helvetica" w:hAnsi="Helvetica" w:cs="Helvetica"/>
          <w:sz w:val="20"/>
          <w:szCs w:val="20"/>
        </w:rPr>
      </w:pPr>
    </w:p>
    <w:p w14:paraId="4C6380F1" w14:textId="77777777" w:rsidR="00EA0C62" w:rsidRPr="00D44F37" w:rsidRDefault="00EA0C62" w:rsidP="00EA0C62">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 xml:space="preserve">Where </w:t>
      </w:r>
      <w:r>
        <w:rPr>
          <w:rFonts w:ascii="Helvetica" w:hAnsi="Helvetica" w:cs="Helvetica"/>
          <w:b/>
          <w:sz w:val="20"/>
          <w:szCs w:val="20"/>
        </w:rPr>
        <w:t>PSWORK</w:t>
      </w:r>
      <w:r>
        <w:rPr>
          <w:rFonts w:ascii="Helvetica" w:hAnsi="Helvetica" w:cs="Helvetica"/>
          <w:sz w:val="20"/>
          <w:szCs w:val="20"/>
        </w:rPr>
        <w:t xml:space="preserve"> == tlg0013.*</w:t>
      </w:r>
      <w:r w:rsidR="008C2D83">
        <w:rPr>
          <w:rFonts w:ascii="Helvetica" w:hAnsi="Helvetica" w:cs="Helvetica"/>
          <w:sz w:val="20"/>
          <w:szCs w:val="20"/>
        </w:rPr>
        <w:t xml:space="preserve"> (</w:t>
      </w:r>
      <w:r w:rsidR="008C2D83">
        <w:rPr>
          <w:rFonts w:ascii="Helvetica" w:hAnsi="Helvetica" w:cs="Helvetica"/>
          <w:i/>
          <w:sz w:val="20"/>
          <w:szCs w:val="20"/>
        </w:rPr>
        <w:t>Homeric Hymns</w:t>
      </w:r>
      <w:r w:rsidR="008C2D83">
        <w:rPr>
          <w:rFonts w:ascii="Helvetica" w:hAnsi="Helvetica" w:cs="Helvetica"/>
          <w:sz w:val="20"/>
          <w:szCs w:val="20"/>
        </w:rPr>
        <w:t xml:space="preserve">) the format will be </w:t>
      </w:r>
      <w:r w:rsidR="008C2D83">
        <w:rPr>
          <w:rFonts w:ascii="Helvetica" w:hAnsi="Helvetica" w:cs="Helvetica"/>
          <w:b/>
          <w:sz w:val="20"/>
          <w:szCs w:val="20"/>
        </w:rPr>
        <w:t>LINE</w:t>
      </w:r>
      <w:r w:rsidR="008C2D83">
        <w:rPr>
          <w:rFonts w:ascii="Helvetica" w:hAnsi="Helvetica" w:cs="Helvetica"/>
          <w:sz w:val="20"/>
          <w:szCs w:val="20"/>
        </w:rPr>
        <w:t xml:space="preserve"> or a range </w:t>
      </w:r>
      <w:r w:rsidR="008C2D83">
        <w:rPr>
          <w:rFonts w:ascii="Helvetica" w:hAnsi="Helvetica" w:cs="Helvetica"/>
          <w:b/>
          <w:sz w:val="20"/>
          <w:szCs w:val="20"/>
        </w:rPr>
        <w:t>LINE1-LINE2</w:t>
      </w:r>
      <w:r w:rsidR="008C2D83">
        <w:rPr>
          <w:rFonts w:ascii="Helvetica" w:hAnsi="Helvetica" w:cs="Helvetica"/>
          <w:sz w:val="20"/>
          <w:szCs w:val="20"/>
        </w:rPr>
        <w:t xml:space="preserve"> where </w:t>
      </w:r>
      <w:r w:rsidR="008C2D83">
        <w:rPr>
          <w:rFonts w:ascii="Helvetica" w:hAnsi="Helvetica" w:cs="Helvetica"/>
          <w:b/>
          <w:sz w:val="20"/>
          <w:szCs w:val="20"/>
        </w:rPr>
        <w:t>LINE*</w:t>
      </w:r>
      <w:r w:rsidR="008C2D83">
        <w:rPr>
          <w:rFonts w:ascii="Helvetica" w:hAnsi="Helvetica" w:cs="Helvetica"/>
          <w:sz w:val="20"/>
          <w:szCs w:val="20"/>
        </w:rPr>
        <w:t xml:space="preserve"> is always an integer &gt; 0. </w:t>
      </w:r>
    </w:p>
    <w:p w14:paraId="20567B10"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30BBE2AA" w14:textId="77777777" w:rsidR="006650F5" w:rsidRDefault="006650F5" w:rsidP="00CE66A0">
      <w:pPr>
        <w:widowControl w:val="0"/>
        <w:autoSpaceDE w:val="0"/>
        <w:autoSpaceDN w:val="0"/>
        <w:adjustRightInd w:val="0"/>
        <w:rPr>
          <w:rFonts w:ascii="Helvetica" w:hAnsi="Helvetica" w:cs="Helvetica"/>
          <w:sz w:val="20"/>
          <w:szCs w:val="20"/>
        </w:rPr>
      </w:pPr>
      <w:r w:rsidRPr="006650F5">
        <w:rPr>
          <w:rFonts w:ascii="Helvetica" w:hAnsi="Helvetica" w:cs="Helvetica"/>
          <w:bCs/>
          <w:sz w:val="20"/>
          <w:szCs w:val="20"/>
        </w:rPr>
        <w:t xml:space="preserve">The format </w:t>
      </w:r>
      <w:r>
        <w:rPr>
          <w:rFonts w:ascii="Helvetica" w:hAnsi="Helvetica" w:cs="Helvetica"/>
          <w:bCs/>
          <w:sz w:val="20"/>
          <w:szCs w:val="20"/>
        </w:rPr>
        <w:t xml:space="preserve">of a </w:t>
      </w:r>
      <w:r w:rsidR="00CE66A0" w:rsidRPr="00CE66A0">
        <w:rPr>
          <w:rFonts w:ascii="Helvetica" w:hAnsi="Helvetica" w:cs="Helvetica"/>
          <w:b/>
          <w:bCs/>
          <w:sz w:val="20"/>
          <w:szCs w:val="20"/>
        </w:rPr>
        <w:t>CMNTSCRURN</w:t>
      </w:r>
      <w:r>
        <w:rPr>
          <w:rFonts w:ascii="Helvetica" w:hAnsi="Helvetica" w:cs="Helvetica"/>
          <w:sz w:val="20"/>
          <w:szCs w:val="20"/>
        </w:rPr>
        <w:t xml:space="preserve"> is as follows:</w:t>
      </w:r>
    </w:p>
    <w:p w14:paraId="32F36308" w14:textId="77777777" w:rsidR="006650F5" w:rsidRDefault="006650F5" w:rsidP="00CE66A0">
      <w:pPr>
        <w:widowControl w:val="0"/>
        <w:autoSpaceDE w:val="0"/>
        <w:autoSpaceDN w:val="0"/>
        <w:adjustRightInd w:val="0"/>
        <w:rPr>
          <w:rFonts w:ascii="Helvetica" w:hAnsi="Helvetica" w:cs="Helvetica"/>
          <w:sz w:val="20"/>
          <w:szCs w:val="20"/>
        </w:rPr>
      </w:pPr>
    </w:p>
    <w:p w14:paraId="3E2B0A7D" w14:textId="77777777" w:rsidR="006650F5" w:rsidRDefault="006650F5" w:rsidP="00CE66A0">
      <w:pPr>
        <w:widowControl w:val="0"/>
        <w:autoSpaceDE w:val="0"/>
        <w:autoSpaceDN w:val="0"/>
        <w:adjustRightInd w:val="0"/>
        <w:rPr>
          <w:rFonts w:ascii="Helvetica" w:hAnsi="Helvetica" w:cs="Helvetica"/>
          <w:sz w:val="20"/>
          <w:szCs w:val="20"/>
        </w:rPr>
      </w:pPr>
      <w:r>
        <w:rPr>
          <w:rFonts w:ascii="Helvetica" w:hAnsi="Helvetica" w:cs="Helvetica"/>
          <w:sz w:val="20"/>
          <w:szCs w:val="20"/>
        </w:rPr>
        <w:t>urn:cts:ahcip:</w:t>
      </w:r>
      <w:r>
        <w:rPr>
          <w:rFonts w:ascii="Helvetica" w:hAnsi="Helvetica" w:cs="Helvetica"/>
          <w:b/>
          <w:sz w:val="20"/>
          <w:szCs w:val="20"/>
        </w:rPr>
        <w:t>CSWORK:CSPASSAGE</w:t>
      </w:r>
    </w:p>
    <w:p w14:paraId="143E3C6C" w14:textId="77777777" w:rsidR="006650F5" w:rsidRPr="006650F5" w:rsidRDefault="006650F5" w:rsidP="00CE66A0">
      <w:pPr>
        <w:widowControl w:val="0"/>
        <w:autoSpaceDE w:val="0"/>
        <w:autoSpaceDN w:val="0"/>
        <w:adjustRightInd w:val="0"/>
        <w:rPr>
          <w:rFonts w:ascii="Helvetica" w:hAnsi="Helvetica" w:cs="Helvetica"/>
          <w:sz w:val="20"/>
          <w:szCs w:val="20"/>
        </w:rPr>
      </w:pPr>
    </w:p>
    <w:p w14:paraId="32A0BB00" w14:textId="77777777" w:rsidR="00CE66A0" w:rsidRDefault="006650F5" w:rsidP="00CE66A0">
      <w:pPr>
        <w:widowControl w:val="0"/>
        <w:autoSpaceDE w:val="0"/>
        <w:autoSpaceDN w:val="0"/>
        <w:adjustRightInd w:val="0"/>
        <w:rPr>
          <w:rFonts w:ascii="Helvetica" w:hAnsi="Helvetica" w:cs="Helvetica"/>
          <w:sz w:val="20"/>
          <w:szCs w:val="20"/>
        </w:rPr>
      </w:pPr>
      <w:r>
        <w:rPr>
          <w:rFonts w:ascii="Helvetica" w:hAnsi="Helvetica" w:cs="Helvetica"/>
          <w:sz w:val="20"/>
          <w:szCs w:val="20"/>
        </w:rPr>
        <w:t>W</w:t>
      </w:r>
      <w:r w:rsidR="00CE66A0" w:rsidRPr="00CE66A0">
        <w:rPr>
          <w:rFonts w:ascii="Helvetica" w:hAnsi="Helvetica" w:cs="Helvetica"/>
          <w:sz w:val="20"/>
          <w:szCs w:val="20"/>
        </w:rPr>
        <w:t xml:space="preserve">e are, essentially, creating CTS URNs in a namespace that will be named </w:t>
      </w:r>
      <w:r w:rsidR="00CE66A0" w:rsidRPr="00CE66A0">
        <w:rPr>
          <w:rFonts w:ascii="Helvetica" w:hAnsi="Helvetica" w:cs="Helvetica"/>
          <w:b/>
          <w:bCs/>
          <w:sz w:val="20"/>
          <w:szCs w:val="20"/>
        </w:rPr>
        <w:t>ahcip</w:t>
      </w:r>
      <w:r w:rsidR="00CF0AA7">
        <w:rPr>
          <w:rFonts w:ascii="Helvetica" w:hAnsi="Helvetica" w:cs="Helvetica"/>
          <w:sz w:val="20"/>
          <w:szCs w:val="20"/>
        </w:rPr>
        <w:t xml:space="preserve">. </w:t>
      </w:r>
      <w:r w:rsidR="00CE66A0" w:rsidRPr="00CE66A0">
        <w:rPr>
          <w:rFonts w:ascii="Helvetica" w:hAnsi="Helvetica" w:cs="Helvetica"/>
          <w:sz w:val="20"/>
          <w:szCs w:val="20"/>
        </w:rPr>
        <w:t xml:space="preserve">We do need to maintain a catalogue of what CTS URNs we create in the ahcip namespace, </w:t>
      </w:r>
      <w:r w:rsidR="00EA0C62">
        <w:rPr>
          <w:rFonts w:ascii="Helvetica" w:hAnsi="Helvetica" w:cs="Helvetica"/>
          <w:sz w:val="20"/>
          <w:szCs w:val="20"/>
        </w:rPr>
        <w:t xml:space="preserve">for when </w:t>
      </w:r>
      <w:r w:rsidR="00CF0AA7">
        <w:rPr>
          <w:rFonts w:ascii="Helvetica" w:hAnsi="Helvetica" w:cs="Helvetica"/>
          <w:sz w:val="20"/>
          <w:szCs w:val="20"/>
        </w:rPr>
        <w:t>we</w:t>
      </w:r>
      <w:r w:rsidR="00CE66A0" w:rsidRPr="00CE66A0">
        <w:rPr>
          <w:rFonts w:ascii="Helvetica" w:hAnsi="Helvetica" w:cs="Helvetica"/>
          <w:sz w:val="20"/>
          <w:szCs w:val="20"/>
        </w:rPr>
        <w:t xml:space="preserve"> stand up a proper CTS server that knows how to serve up </w:t>
      </w:r>
      <w:r w:rsidR="002E0100">
        <w:rPr>
          <w:rFonts w:ascii="Helvetica" w:hAnsi="Helvetica" w:cs="Helvetica"/>
          <w:sz w:val="20"/>
          <w:szCs w:val="20"/>
        </w:rPr>
        <w:t>the text in bite-size pieces of XML.  There will be a complete list with correct Human-readable names.</w:t>
      </w:r>
    </w:p>
    <w:p w14:paraId="5B32B894" w14:textId="77777777" w:rsidR="006650F5" w:rsidRDefault="006650F5" w:rsidP="00CE66A0">
      <w:pPr>
        <w:widowControl w:val="0"/>
        <w:autoSpaceDE w:val="0"/>
        <w:autoSpaceDN w:val="0"/>
        <w:adjustRightInd w:val="0"/>
        <w:rPr>
          <w:rFonts w:ascii="Helvetica" w:hAnsi="Helvetica" w:cs="Helvetica"/>
          <w:sz w:val="20"/>
          <w:szCs w:val="20"/>
        </w:rPr>
      </w:pPr>
    </w:p>
    <w:p w14:paraId="43DFEDD7" w14:textId="77777777" w:rsidR="006650F5" w:rsidRDefault="006650F5" w:rsidP="00CE66A0">
      <w:pPr>
        <w:widowControl w:val="0"/>
        <w:autoSpaceDE w:val="0"/>
        <w:autoSpaceDN w:val="0"/>
        <w:adjustRightInd w:val="0"/>
        <w:rPr>
          <w:rFonts w:ascii="Helvetica" w:hAnsi="Helvetica" w:cs="Helvetica"/>
          <w:sz w:val="20"/>
          <w:szCs w:val="20"/>
        </w:rPr>
      </w:pPr>
      <w:r>
        <w:rPr>
          <w:rFonts w:ascii="Helvetica" w:hAnsi="Helvetica" w:cs="Helvetica"/>
          <w:b/>
          <w:sz w:val="20"/>
          <w:szCs w:val="20"/>
        </w:rPr>
        <w:t>CSWORK</w:t>
      </w:r>
      <w:r>
        <w:rPr>
          <w:rFonts w:ascii="Helvetica" w:hAnsi="Helvetica" w:cs="Helvetica"/>
          <w:sz w:val="20"/>
          <w:szCs w:val="20"/>
        </w:rPr>
        <w:t xml:space="preserve"> will come from a well-defined set of strings, such as </w:t>
      </w:r>
      <w:r w:rsidRPr="006650F5">
        <w:rPr>
          <w:rFonts w:ascii="Helvetica" w:hAnsi="Helvetica" w:cs="Helvetica"/>
          <w:sz w:val="20"/>
          <w:szCs w:val="20"/>
        </w:rPr>
        <w:t>GregoryNagy.HomerTheClassic</w:t>
      </w:r>
      <w:r>
        <w:rPr>
          <w:rFonts w:ascii="Helvetica" w:hAnsi="Helvetica" w:cs="Helvetica"/>
          <w:sz w:val="20"/>
          <w:szCs w:val="20"/>
        </w:rPr>
        <w:t xml:space="preserve"> for Greg's </w:t>
      </w:r>
      <w:r>
        <w:rPr>
          <w:rFonts w:ascii="Helvetica" w:hAnsi="Helvetica" w:cs="Helvetica"/>
          <w:i/>
          <w:sz w:val="20"/>
          <w:szCs w:val="20"/>
        </w:rPr>
        <w:t>Homer the Classic</w:t>
      </w:r>
      <w:r>
        <w:rPr>
          <w:rFonts w:ascii="Helvetica" w:hAnsi="Helvetica" w:cs="Helvetica"/>
          <w:sz w:val="20"/>
          <w:szCs w:val="20"/>
        </w:rPr>
        <w:t xml:space="preserve">, etc. </w:t>
      </w:r>
    </w:p>
    <w:p w14:paraId="00B4366A" w14:textId="77777777" w:rsidR="00EA0C62" w:rsidRDefault="00EA0C62" w:rsidP="00CE66A0">
      <w:pPr>
        <w:widowControl w:val="0"/>
        <w:autoSpaceDE w:val="0"/>
        <w:autoSpaceDN w:val="0"/>
        <w:adjustRightInd w:val="0"/>
        <w:rPr>
          <w:rFonts w:ascii="Helvetica" w:hAnsi="Helvetica" w:cs="Helvetica"/>
          <w:sz w:val="20"/>
          <w:szCs w:val="20"/>
        </w:rPr>
      </w:pPr>
    </w:p>
    <w:p w14:paraId="1C9823CD" w14:textId="77777777" w:rsidR="00EA0C62" w:rsidRPr="00D44F37" w:rsidRDefault="00EA0C62" w:rsidP="00CE66A0">
      <w:pPr>
        <w:widowControl w:val="0"/>
        <w:autoSpaceDE w:val="0"/>
        <w:autoSpaceDN w:val="0"/>
        <w:adjustRightInd w:val="0"/>
        <w:rPr>
          <w:rFonts w:ascii="Helvetica" w:hAnsi="Helvetica" w:cs="Helvetica"/>
          <w:b/>
          <w:sz w:val="20"/>
          <w:szCs w:val="20"/>
        </w:rPr>
      </w:pPr>
      <w:r>
        <w:rPr>
          <w:rFonts w:ascii="Helvetica" w:hAnsi="Helvetica" w:cs="Helvetica"/>
          <w:b/>
          <w:sz w:val="20"/>
          <w:szCs w:val="20"/>
        </w:rPr>
        <w:t>CSPASSAGE</w:t>
      </w:r>
      <w:r>
        <w:rPr>
          <w:rFonts w:ascii="Helvetica" w:hAnsi="Helvetica" w:cs="Helvetica"/>
          <w:sz w:val="20"/>
          <w:szCs w:val="20"/>
        </w:rPr>
        <w:t xml:space="preserve"> format depends on what </w:t>
      </w:r>
      <w:r>
        <w:rPr>
          <w:rFonts w:ascii="Helvetica" w:hAnsi="Helvetica" w:cs="Helvetica"/>
          <w:b/>
          <w:sz w:val="20"/>
          <w:szCs w:val="20"/>
        </w:rPr>
        <w:t>CSWORK</w:t>
      </w:r>
      <w:r w:rsidR="00D44F37">
        <w:rPr>
          <w:rFonts w:ascii="Helvetica" w:hAnsi="Helvetica" w:cs="Helvetica"/>
          <w:sz w:val="20"/>
          <w:szCs w:val="20"/>
        </w:rPr>
        <w:t xml:space="preserve"> is. The passage reference depends on what type of work and how it is structured.</w:t>
      </w:r>
      <w:bookmarkStart w:id="0" w:name="_GoBack"/>
      <w:bookmarkEnd w:id="0"/>
    </w:p>
    <w:p w14:paraId="13A23828" w14:textId="77777777" w:rsidR="006650F5" w:rsidRDefault="006650F5" w:rsidP="00CE66A0">
      <w:pPr>
        <w:widowControl w:val="0"/>
        <w:autoSpaceDE w:val="0"/>
        <w:autoSpaceDN w:val="0"/>
        <w:adjustRightInd w:val="0"/>
        <w:rPr>
          <w:rFonts w:ascii="Helvetica" w:hAnsi="Helvetica" w:cs="Helvetica"/>
          <w:sz w:val="20"/>
          <w:szCs w:val="20"/>
        </w:rPr>
      </w:pPr>
    </w:p>
    <w:p w14:paraId="51511CDA" w14:textId="77777777" w:rsidR="006650F5" w:rsidRPr="002E0100" w:rsidRDefault="006650F5" w:rsidP="00CE66A0">
      <w:pPr>
        <w:widowControl w:val="0"/>
        <w:autoSpaceDE w:val="0"/>
        <w:autoSpaceDN w:val="0"/>
        <w:adjustRightInd w:val="0"/>
        <w:rPr>
          <w:rFonts w:ascii="Helvetica" w:hAnsi="Helvetica" w:cs="Helvetica"/>
          <w:b/>
          <w:sz w:val="20"/>
          <w:szCs w:val="20"/>
        </w:rPr>
      </w:pPr>
    </w:p>
    <w:p w14:paraId="2FCCAFE0" w14:textId="77777777" w:rsidR="006650F5" w:rsidRDefault="006650F5" w:rsidP="006650F5">
      <w:pPr>
        <w:widowControl w:val="0"/>
        <w:autoSpaceDE w:val="0"/>
        <w:autoSpaceDN w:val="0"/>
        <w:adjustRightInd w:val="0"/>
        <w:ind w:left="720"/>
        <w:rPr>
          <w:rFonts w:ascii="Helvetica" w:hAnsi="Helvetica" w:cs="Helvetica"/>
          <w:sz w:val="20"/>
          <w:szCs w:val="20"/>
        </w:rPr>
      </w:pPr>
    </w:p>
    <w:p w14:paraId="5A83E9E8" w14:textId="77777777" w:rsidR="006650F5" w:rsidRPr="006650F5" w:rsidRDefault="006650F5" w:rsidP="006650F5">
      <w:pPr>
        <w:widowControl w:val="0"/>
        <w:autoSpaceDE w:val="0"/>
        <w:autoSpaceDN w:val="0"/>
        <w:adjustRightInd w:val="0"/>
        <w:ind w:left="720"/>
        <w:rPr>
          <w:rFonts w:ascii="Helvetica" w:hAnsi="Helvetica" w:cs="Helvetica"/>
          <w:sz w:val="20"/>
          <w:szCs w:val="20"/>
        </w:rPr>
      </w:pPr>
    </w:p>
    <w:p w14:paraId="11B158B4"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5BA4A8B0" w14:textId="77777777" w:rsidR="00CE66A0" w:rsidRPr="00CE66A0" w:rsidRDefault="00CE66A0" w:rsidP="00CE66A0">
      <w:pPr>
        <w:widowControl w:val="0"/>
        <w:autoSpaceDE w:val="0"/>
        <w:autoSpaceDN w:val="0"/>
        <w:adjustRightInd w:val="0"/>
        <w:rPr>
          <w:rFonts w:ascii="Helvetica" w:hAnsi="Helvetica" w:cs="Helvetica"/>
          <w:sz w:val="20"/>
          <w:szCs w:val="20"/>
        </w:rPr>
      </w:pPr>
    </w:p>
    <w:p w14:paraId="56E843B9" w14:textId="77777777" w:rsidR="00530C5E" w:rsidRPr="00CE66A0" w:rsidRDefault="00530C5E">
      <w:pPr>
        <w:rPr>
          <w:sz w:val="20"/>
          <w:szCs w:val="20"/>
          <w:lang w:val="is-IS"/>
        </w:rPr>
      </w:pPr>
    </w:p>
    <w:sectPr w:rsidR="00530C5E" w:rsidRPr="00CE66A0" w:rsidSect="00CE66A0">
      <w:footerReference w:type="even" r:id="rId9"/>
      <w:footerReference w:type="default" r:id="rId10"/>
      <w:pgSz w:w="15840" w:h="12240" w:orient="landscape"/>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3C9CD" w14:textId="77777777" w:rsidR="008C2D83" w:rsidRDefault="008C2D83" w:rsidP="00CF0AA7">
      <w:r>
        <w:separator/>
      </w:r>
    </w:p>
  </w:endnote>
  <w:endnote w:type="continuationSeparator" w:id="0">
    <w:p w14:paraId="09618BCF" w14:textId="77777777" w:rsidR="008C2D83" w:rsidRDefault="008C2D83" w:rsidP="00CF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AC919" w14:textId="77777777" w:rsidR="008C2D83" w:rsidRDefault="008C2D83" w:rsidP="00CF0A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0184E5" w14:textId="77777777" w:rsidR="008C2D83" w:rsidRDefault="008C2D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69FB1" w14:textId="77777777" w:rsidR="008C2D83" w:rsidRDefault="008C2D83" w:rsidP="00CF0A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4F37">
      <w:rPr>
        <w:rStyle w:val="PageNumber"/>
        <w:noProof/>
      </w:rPr>
      <w:t>1</w:t>
    </w:r>
    <w:r>
      <w:rPr>
        <w:rStyle w:val="PageNumber"/>
      </w:rPr>
      <w:fldChar w:fldCharType="end"/>
    </w:r>
  </w:p>
  <w:p w14:paraId="63890D7C" w14:textId="77777777" w:rsidR="008C2D83" w:rsidRDefault="008C2D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AFD9B" w14:textId="77777777" w:rsidR="008C2D83" w:rsidRDefault="008C2D83" w:rsidP="00CF0AA7">
      <w:r>
        <w:separator/>
      </w:r>
    </w:p>
  </w:footnote>
  <w:footnote w:type="continuationSeparator" w:id="0">
    <w:p w14:paraId="5CDF21C2" w14:textId="77777777" w:rsidR="008C2D83" w:rsidRDefault="008C2D83" w:rsidP="00CF0A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5712AC"/>
    <w:multiLevelType w:val="hybridMultilevel"/>
    <w:tmpl w:val="BFD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A0"/>
    <w:rsid w:val="00025F44"/>
    <w:rsid w:val="002E0100"/>
    <w:rsid w:val="00530C5E"/>
    <w:rsid w:val="005656D4"/>
    <w:rsid w:val="006650F5"/>
    <w:rsid w:val="006F12BC"/>
    <w:rsid w:val="008C2D83"/>
    <w:rsid w:val="00C203C7"/>
    <w:rsid w:val="00CE66A0"/>
    <w:rsid w:val="00CF0AA7"/>
    <w:rsid w:val="00D44F37"/>
    <w:rsid w:val="00E33D9A"/>
    <w:rsid w:val="00EA0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5A59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A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12BC"/>
    <w:pPr>
      <w:keepNext/>
      <w:keepLines/>
      <w:spacing w:before="200"/>
      <w:outlineLvl w:val="1"/>
    </w:pPr>
    <w:rPr>
      <w:rFonts w:asciiTheme="majorHAnsi" w:eastAsiaTheme="majorEastAsia" w:hAnsiTheme="majorHAnsi"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2BC"/>
    <w:rPr>
      <w:rFonts w:asciiTheme="majorHAnsi" w:eastAsiaTheme="majorEastAsia" w:hAnsiTheme="majorHAnsi" w:cstheme="majorBidi"/>
      <w:b/>
      <w:bCs/>
      <w:color w:val="000000" w:themeColor="text1"/>
      <w:sz w:val="28"/>
      <w:szCs w:val="26"/>
    </w:rPr>
  </w:style>
  <w:style w:type="character" w:customStyle="1" w:styleId="Heading1Char">
    <w:name w:val="Heading 1 Char"/>
    <w:basedOn w:val="DefaultParagraphFont"/>
    <w:link w:val="Heading1"/>
    <w:uiPriority w:val="9"/>
    <w:rsid w:val="00CF0AA7"/>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CF0AA7"/>
    <w:pPr>
      <w:tabs>
        <w:tab w:val="center" w:pos="4320"/>
        <w:tab w:val="right" w:pos="8640"/>
      </w:tabs>
    </w:pPr>
  </w:style>
  <w:style w:type="character" w:customStyle="1" w:styleId="FooterChar">
    <w:name w:val="Footer Char"/>
    <w:basedOn w:val="DefaultParagraphFont"/>
    <w:link w:val="Footer"/>
    <w:uiPriority w:val="99"/>
    <w:rsid w:val="00CF0AA7"/>
  </w:style>
  <w:style w:type="character" w:styleId="PageNumber">
    <w:name w:val="page number"/>
    <w:basedOn w:val="DefaultParagraphFont"/>
    <w:uiPriority w:val="99"/>
    <w:semiHidden/>
    <w:unhideWhenUsed/>
    <w:rsid w:val="00CF0AA7"/>
  </w:style>
  <w:style w:type="paragraph" w:styleId="ListParagraph">
    <w:name w:val="List Paragraph"/>
    <w:basedOn w:val="Normal"/>
    <w:uiPriority w:val="34"/>
    <w:qFormat/>
    <w:rsid w:val="00EA0C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A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12BC"/>
    <w:pPr>
      <w:keepNext/>
      <w:keepLines/>
      <w:spacing w:before="200"/>
      <w:outlineLvl w:val="1"/>
    </w:pPr>
    <w:rPr>
      <w:rFonts w:asciiTheme="majorHAnsi" w:eastAsiaTheme="majorEastAsia" w:hAnsiTheme="majorHAnsi"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2BC"/>
    <w:rPr>
      <w:rFonts w:asciiTheme="majorHAnsi" w:eastAsiaTheme="majorEastAsia" w:hAnsiTheme="majorHAnsi" w:cstheme="majorBidi"/>
      <w:b/>
      <w:bCs/>
      <w:color w:val="000000" w:themeColor="text1"/>
      <w:sz w:val="28"/>
      <w:szCs w:val="26"/>
    </w:rPr>
  </w:style>
  <w:style w:type="character" w:customStyle="1" w:styleId="Heading1Char">
    <w:name w:val="Heading 1 Char"/>
    <w:basedOn w:val="DefaultParagraphFont"/>
    <w:link w:val="Heading1"/>
    <w:uiPriority w:val="9"/>
    <w:rsid w:val="00CF0AA7"/>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CF0AA7"/>
    <w:pPr>
      <w:tabs>
        <w:tab w:val="center" w:pos="4320"/>
        <w:tab w:val="right" w:pos="8640"/>
      </w:tabs>
    </w:pPr>
  </w:style>
  <w:style w:type="character" w:customStyle="1" w:styleId="FooterChar">
    <w:name w:val="Footer Char"/>
    <w:basedOn w:val="DefaultParagraphFont"/>
    <w:link w:val="Footer"/>
    <w:uiPriority w:val="99"/>
    <w:rsid w:val="00CF0AA7"/>
  </w:style>
  <w:style w:type="character" w:styleId="PageNumber">
    <w:name w:val="page number"/>
    <w:basedOn w:val="DefaultParagraphFont"/>
    <w:uiPriority w:val="99"/>
    <w:semiHidden/>
    <w:unhideWhenUsed/>
    <w:rsid w:val="00CF0AA7"/>
  </w:style>
  <w:style w:type="paragraph" w:styleId="ListParagraph">
    <w:name w:val="List Paragraph"/>
    <w:basedOn w:val="Normal"/>
    <w:uiPriority w:val="34"/>
    <w:qFormat/>
    <w:rsid w:val="00EA0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omermultitext.org/hmt-docs/specifications/ctsurn/"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758</Words>
  <Characters>4327</Characters>
  <Application>Microsoft Macintosh Word</Application>
  <DocSecurity>0</DocSecurity>
  <Lines>36</Lines>
  <Paragraphs>10</Paragraphs>
  <ScaleCrop>false</ScaleCrop>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Jenson</dc:creator>
  <cp:keywords/>
  <dc:description/>
  <cp:lastModifiedBy>Rob Jenson</cp:lastModifiedBy>
  <cp:revision>2</cp:revision>
  <dcterms:created xsi:type="dcterms:W3CDTF">2014-08-14T19:06:00Z</dcterms:created>
  <dcterms:modified xsi:type="dcterms:W3CDTF">2014-08-15T23:15:00Z</dcterms:modified>
</cp:coreProperties>
</file>