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C2F09" w14:textId="77777777" w:rsidR="002B6C2D" w:rsidRDefault="00CE66A0" w:rsidP="002B6C2D">
      <w:pPr>
        <w:pStyle w:val="Title"/>
      </w:pPr>
      <w:r w:rsidRPr="00CF0AA7">
        <w:t>AHCIP</w:t>
      </w:r>
      <w:r w:rsidR="002C1ECA">
        <w:t>: MRBTP and</w:t>
      </w:r>
      <w:r w:rsidRPr="00CF0AA7">
        <w:t xml:space="preserve"> Ingest </w:t>
      </w:r>
      <w:r w:rsidR="002B6C2D">
        <w:t>Data File Format Specification</w:t>
      </w:r>
    </w:p>
    <w:p w14:paraId="62EC48EF" w14:textId="43B3BC73" w:rsidR="00CE66A0" w:rsidRPr="002B6C2D" w:rsidRDefault="002B6C2D" w:rsidP="002B6C2D">
      <w:pPr>
        <w:pStyle w:val="Heading3"/>
        <w:jc w:val="center"/>
        <w:rPr>
          <w:color w:val="000000" w:themeColor="text1"/>
        </w:rPr>
      </w:pPr>
      <w:r w:rsidRPr="002B6C2D">
        <w:rPr>
          <w:color w:val="000000" w:themeColor="text1"/>
        </w:rPr>
        <w:t xml:space="preserve">Updated: </w:t>
      </w:r>
      <w:r w:rsidR="00CE66A0" w:rsidRPr="002B6C2D">
        <w:rPr>
          <w:color w:val="000000" w:themeColor="text1"/>
        </w:rPr>
        <w:t>2014-08-14</w:t>
      </w:r>
    </w:p>
    <w:p w14:paraId="1DB6DFA1" w14:textId="77777777" w:rsidR="00CE66A0" w:rsidRDefault="00CE66A0" w:rsidP="00CE66A0">
      <w:pPr>
        <w:widowControl w:val="0"/>
        <w:autoSpaceDE w:val="0"/>
        <w:autoSpaceDN w:val="0"/>
        <w:adjustRightInd w:val="0"/>
        <w:rPr>
          <w:rFonts w:ascii="Helvetica" w:hAnsi="Helvetica" w:cs="Helvetica"/>
          <w:sz w:val="20"/>
          <w:szCs w:val="20"/>
        </w:rPr>
      </w:pPr>
    </w:p>
    <w:p w14:paraId="4A88CD6D" w14:textId="265058DD" w:rsidR="002C1ECA" w:rsidRDefault="002C1ECA" w:rsidP="002B6C2D">
      <w:pPr>
        <w:pStyle w:val="Heading1"/>
      </w:pPr>
      <w:r>
        <w:t>MRBTP = Modified Ryan Baumann Transform Pro</w:t>
      </w:r>
      <w:r w:rsidR="00F409CC">
        <w:t>cess</w:t>
      </w:r>
    </w:p>
    <w:p w14:paraId="7D3DBD7D" w14:textId="77777777" w:rsidR="002C1ECA" w:rsidRDefault="002C1ECA" w:rsidP="002C1ECA"/>
    <w:p w14:paraId="3A2FAA62" w14:textId="296F243C" w:rsidR="00894CD4" w:rsidRDefault="00786749" w:rsidP="002C1ECA">
      <w:r>
        <w:t>The original input data to AHCIP are Microsoft Word documents, created by</w:t>
      </w:r>
      <w:r w:rsidR="00F409CC">
        <w:t xml:space="preserve"> </w:t>
      </w:r>
      <w:r w:rsidR="00894CD4">
        <w:t>researchers</w:t>
      </w:r>
      <w:r>
        <w:t xml:space="preserve"> Anita Nikkanen, Ian Tewksbury, etc. to document placeholders to commentary in secondary references</w:t>
      </w:r>
      <w:r w:rsidR="00F409CC">
        <w:t xml:space="preserve"> written by Homeric scholoars (Nagy, Frame, Muellner, Elmer). These files were coded in a </w:t>
      </w:r>
      <w:r w:rsidR="006C572E">
        <w:t>Stream</w:t>
      </w:r>
      <w:r w:rsidR="00F409CC">
        <w:t xml:space="preserve"> </w:t>
      </w:r>
      <w:r w:rsidR="006C572E">
        <w:t>F</w:t>
      </w:r>
      <w:r w:rsidR="00F409CC">
        <w:t>ormat</w:t>
      </w:r>
      <w:r w:rsidR="006C572E">
        <w:t xml:space="preserve"> (SF), </w:t>
      </w:r>
      <w:r w:rsidR="00F409CC">
        <w:t>not documented here. It is necessary to convert these stream format files to CSV files in the AHCIP Ingest Data File Format (AIDFF).</w:t>
      </w:r>
    </w:p>
    <w:p w14:paraId="03B29679" w14:textId="77777777" w:rsidR="00F409CC" w:rsidRDefault="00F409CC" w:rsidP="002C1ECA"/>
    <w:p w14:paraId="7CDDDF10" w14:textId="4C2CB8FC" w:rsidR="00F409CC" w:rsidRDefault="006C572E" w:rsidP="002C1ECA">
      <w:r>
        <w:t>The transformation of SF files to AIDFF files comprises several steps:</w:t>
      </w:r>
    </w:p>
    <w:p w14:paraId="36328BDF" w14:textId="10AD7A0D" w:rsidR="006C572E" w:rsidRDefault="006C572E" w:rsidP="006C572E">
      <w:pPr>
        <w:pStyle w:val="ListParagraph"/>
        <w:numPr>
          <w:ilvl w:val="0"/>
          <w:numId w:val="3"/>
        </w:numPr>
      </w:pPr>
      <w:r>
        <w:t xml:space="preserve">Save the Word document </w:t>
      </w:r>
      <w:r w:rsidR="00894CD4">
        <w:t xml:space="preserve">in SF </w:t>
      </w:r>
      <w:r>
        <w:t xml:space="preserve">as a text file, characters encoded as UTF-8 Unicode, with lines terminated by line-feed characters (U+000A). In the git repository, these files are stored in </w:t>
      </w:r>
      <w:r w:rsidR="00894CD4">
        <w:t xml:space="preserve">folder </w:t>
      </w:r>
      <w:r w:rsidR="00894CD4">
        <w:rPr>
          <w:b/>
        </w:rPr>
        <w:t>src_txt/</w:t>
      </w:r>
      <w:r w:rsidR="006250C6">
        <w:t xml:space="preserve"> as </w:t>
      </w:r>
      <w:r w:rsidR="006250C6">
        <w:rPr>
          <w:b/>
          <w:i/>
        </w:rPr>
        <w:t>filename</w:t>
      </w:r>
      <w:r w:rsidR="006250C6">
        <w:t>.txt .</w:t>
      </w:r>
    </w:p>
    <w:p w14:paraId="1FCA756D" w14:textId="7CB526EA" w:rsidR="00894CD4" w:rsidRDefault="00894CD4" w:rsidP="006C572E">
      <w:pPr>
        <w:pStyle w:val="ListParagraph"/>
        <w:numPr>
          <w:ilvl w:val="0"/>
          <w:numId w:val="3"/>
        </w:numPr>
      </w:pPr>
      <w:r>
        <w:t>Correct any syntax errors in the S</w:t>
      </w:r>
      <w:r w:rsidR="006250C6">
        <w:t xml:space="preserve">F text files. If such a correction is made, the unchanged text from the Word document is renamed </w:t>
      </w:r>
      <w:r w:rsidR="006250C6" w:rsidRPr="006250C6">
        <w:rPr>
          <w:b/>
          <w:i/>
        </w:rPr>
        <w:t>filename</w:t>
      </w:r>
      <w:r w:rsidR="006250C6">
        <w:t>.txt.ORIGINAL . Changes due to syntax errors are not documented in the commentary placeholder.</w:t>
      </w:r>
    </w:p>
    <w:p w14:paraId="57066084" w14:textId="58726F03" w:rsidR="006C572E" w:rsidRDefault="00894CD4" w:rsidP="006C572E">
      <w:pPr>
        <w:pStyle w:val="ListParagraph"/>
        <w:numPr>
          <w:ilvl w:val="0"/>
          <w:numId w:val="3"/>
        </w:numPr>
      </w:pPr>
      <w:r>
        <w:t xml:space="preserve">Convert the text SF files to CSV files, using a Groovy script found in </w:t>
      </w:r>
      <w:r>
        <w:rPr>
          <w:b/>
        </w:rPr>
        <w:t>scripts/</w:t>
      </w:r>
      <w:r>
        <w:t>. The end result of this transformation is referred to as "phase1" in the testing folders.</w:t>
      </w:r>
    </w:p>
    <w:p w14:paraId="0ACFBD33" w14:textId="45F86042" w:rsidR="00894CD4" w:rsidRDefault="00894CD4" w:rsidP="006C572E">
      <w:pPr>
        <w:pStyle w:val="ListParagraph"/>
        <w:numPr>
          <w:ilvl w:val="0"/>
          <w:numId w:val="3"/>
        </w:numPr>
      </w:pPr>
      <w:r>
        <w:t>Transform individual elements in each line from the notation used by the researchers</w:t>
      </w:r>
      <w:r w:rsidR="006250C6">
        <w:t xml:space="preserve"> to the AIDFF format. </w:t>
      </w:r>
      <w:r w:rsidR="00867F7E">
        <w:t xml:space="preserve"> Most of the transformation is to convert the passage references in Column 1 to CTS URNs in the </w:t>
      </w:r>
      <w:r w:rsidR="00867F7E">
        <w:rPr>
          <w:b/>
        </w:rPr>
        <w:t>greekLit</w:t>
      </w:r>
      <w:r w:rsidR="00867F7E">
        <w:t xml:space="preserve"> namespace, and to convert text references in Column 2 to CTS URNs in the </w:t>
      </w:r>
      <w:r w:rsidR="00867F7E">
        <w:rPr>
          <w:b/>
        </w:rPr>
        <w:t>ahcip</w:t>
      </w:r>
      <w:r w:rsidR="00867F7E">
        <w:t xml:space="preserve"> namespace. </w:t>
      </w:r>
      <w:r w:rsidR="00867F7E">
        <w:rPr>
          <w:b/>
        </w:rPr>
        <w:t xml:space="preserve"> </w:t>
      </w:r>
      <w:r w:rsidR="006250C6">
        <w:t>The end result of this transformation is referred to as "phase2" in the testing folders.</w:t>
      </w:r>
    </w:p>
    <w:p w14:paraId="0EAF888D" w14:textId="0F567A79" w:rsidR="00BD79B3" w:rsidRDefault="006250C6" w:rsidP="006C572E">
      <w:pPr>
        <w:pStyle w:val="ListParagraph"/>
        <w:numPr>
          <w:ilvl w:val="0"/>
          <w:numId w:val="3"/>
        </w:numPr>
      </w:pPr>
      <w:r>
        <w:t xml:space="preserve">Due to slight differences in the syntax used by researchers from one file to the next, </w:t>
      </w:r>
      <w:r w:rsidR="00867F7E">
        <w:t>it is necessary to examine the output files at this point, determine whether improperly converted lines were due to a syntax error, or the need to modify the transformation scripts, then repeat steps 2-4.</w:t>
      </w:r>
    </w:p>
    <w:p w14:paraId="54078170" w14:textId="77777777" w:rsidR="00867F7E" w:rsidRDefault="00867F7E" w:rsidP="00867F7E"/>
    <w:p w14:paraId="70E15AB7" w14:textId="3D05195B" w:rsidR="00867F7E" w:rsidRDefault="00BD79B3" w:rsidP="00867F7E">
      <w:r>
        <w:rPr>
          <w:b/>
        </w:rPr>
        <w:t xml:space="preserve">The following notations in SF are not encoded in the URN. </w:t>
      </w:r>
    </w:p>
    <w:p w14:paraId="7230C770" w14:textId="77777777" w:rsidR="00BD79B3" w:rsidRDefault="00BD79B3" w:rsidP="00867F7E"/>
    <w:p w14:paraId="545FFB50" w14:textId="66C55D76" w:rsidR="00BD79B3" w:rsidRDefault="00BD79B3" w:rsidP="00BD79B3">
      <w:pPr>
        <w:pStyle w:val="ListParagraph"/>
        <w:numPr>
          <w:ilvl w:val="0"/>
          <w:numId w:val="4"/>
        </w:numPr>
      </w:pPr>
      <w:r>
        <w:t xml:space="preserve">Source passage reference followed by </w:t>
      </w:r>
      <w:r w:rsidRPr="0046091E">
        <w:t>f.</w:t>
      </w:r>
      <w:r>
        <w:t xml:space="preserve"> or </w:t>
      </w:r>
      <w:r w:rsidRPr="0046091E">
        <w:t xml:space="preserve">ff. </w:t>
      </w:r>
      <w:r>
        <w:t xml:space="preserve">: Deleted from URN, noted </w:t>
      </w:r>
      <w:r w:rsidR="0045588D">
        <w:t>as [MRBPT: f] or [MRBPT: ff] in column 4</w:t>
      </w:r>
    </w:p>
    <w:p w14:paraId="1973865C" w14:textId="3F2B102A" w:rsidR="006C572E" w:rsidRDefault="0045588D" w:rsidP="002C1ECA">
      <w:pPr>
        <w:pStyle w:val="ListParagraph"/>
        <w:numPr>
          <w:ilvl w:val="0"/>
          <w:numId w:val="4"/>
        </w:numPr>
      </w:pPr>
      <w:r>
        <w:lastRenderedPageBreak/>
        <w:t xml:space="preserve">Source passage reference followed by </w:t>
      </w:r>
      <w:r w:rsidRPr="0046091E">
        <w:t>(scholia):</w:t>
      </w:r>
      <w:r>
        <w:t xml:space="preserve"> Deleted from URN, noted as [MRBPT: scholia] in column 4</w:t>
      </w:r>
    </w:p>
    <w:p w14:paraId="615FBE30" w14:textId="07AA969F" w:rsidR="0045588D" w:rsidRDefault="0045588D" w:rsidP="002C1ECA">
      <w:pPr>
        <w:pStyle w:val="ListParagraph"/>
        <w:numPr>
          <w:ilvl w:val="0"/>
          <w:numId w:val="4"/>
        </w:numPr>
      </w:pPr>
      <w:r>
        <w:t xml:space="preserve">Source passage reference followed by any other parenthetic note, such </w:t>
      </w:r>
      <w:r w:rsidRPr="0046091E">
        <w:t>as (P.Oxy. III.428) or (bT)</w:t>
      </w:r>
      <w:r w:rsidR="0046091E" w:rsidRPr="0046091E">
        <w:t>:</w:t>
      </w:r>
      <w:r w:rsidR="0046091E">
        <w:t xml:space="preserve"> Deleted from URN, noted as [MRBPT: </w:t>
      </w:r>
      <w:r w:rsidR="0046091E" w:rsidRPr="006B431F">
        <w:rPr>
          <w:b/>
        </w:rPr>
        <w:t>parenthetic note</w:t>
      </w:r>
      <w:r w:rsidR="0046091E">
        <w:t>]</w:t>
      </w:r>
      <w:r w:rsidR="006B431F">
        <w:t xml:space="preserve"> in column 4</w:t>
      </w:r>
    </w:p>
    <w:p w14:paraId="0838BCE0" w14:textId="09C985B3" w:rsidR="00F409CC" w:rsidRPr="00F409CC" w:rsidRDefault="006B431F" w:rsidP="002C1ECA">
      <w:pPr>
        <w:pStyle w:val="ListParagraph"/>
        <w:numPr>
          <w:ilvl w:val="0"/>
          <w:numId w:val="4"/>
        </w:numPr>
      </w:pPr>
      <w:r>
        <w:t xml:space="preserve">For whatever reason, there was no source type reference in the commentary line. If there are only three columns </w:t>
      </w:r>
      <w:r w:rsidR="006516D7">
        <w:t>from the SF conversion, this will be noted as [MRBPT: missing type] in column 2</w:t>
      </w:r>
    </w:p>
    <w:p w14:paraId="1772B82A" w14:textId="77777777" w:rsidR="002C1ECA" w:rsidRDefault="002C1ECA" w:rsidP="002C1ECA"/>
    <w:p w14:paraId="270FEEA3" w14:textId="7ECEE59A" w:rsidR="002C1ECA" w:rsidRDefault="002C1ECA" w:rsidP="002B6C2D">
      <w:pPr>
        <w:pStyle w:val="Heading1"/>
      </w:pPr>
      <w:r>
        <w:t>AHCIP Ingest Data File Format Specification</w:t>
      </w:r>
    </w:p>
    <w:p w14:paraId="2942B2B7" w14:textId="77777777" w:rsidR="002C1ECA" w:rsidRPr="002C1ECA" w:rsidRDefault="002C1ECA" w:rsidP="002C1ECA"/>
    <w:p w14:paraId="0BADDF0F" w14:textId="72E4896B" w:rsidR="00CE66A0" w:rsidRDefault="00CE66A0" w:rsidP="002C1ECA">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data ingest format will be </w:t>
      </w:r>
      <w:r w:rsidR="002C1ECA">
        <w:rPr>
          <w:rFonts w:ascii="Helvetica" w:hAnsi="Helvetica" w:cs="Helvetica"/>
          <w:sz w:val="20"/>
          <w:szCs w:val="20"/>
        </w:rPr>
        <w:t xml:space="preserve">UTF-8 Unicode text files, formatted as Comma-separated Values (CSV) lines. The field separator </w:t>
      </w:r>
      <w:r w:rsidR="0075660F">
        <w:rPr>
          <w:rFonts w:ascii="Helvetica" w:hAnsi="Helvetica" w:cs="Helvetica"/>
          <w:sz w:val="20"/>
          <w:szCs w:val="20"/>
        </w:rPr>
        <w:t>will be the comma (U+0027) character. Each field will be surrounded by double-quotation marks (U+0022).</w:t>
      </w:r>
    </w:p>
    <w:p w14:paraId="28530570" w14:textId="77777777" w:rsidR="00CE66A0" w:rsidRDefault="00CE66A0" w:rsidP="00CE66A0">
      <w:pPr>
        <w:widowControl w:val="0"/>
        <w:autoSpaceDE w:val="0"/>
        <w:autoSpaceDN w:val="0"/>
        <w:adjustRightInd w:val="0"/>
        <w:rPr>
          <w:rFonts w:ascii="Helvetica" w:hAnsi="Helvetica" w:cs="Helvetica"/>
          <w:sz w:val="20"/>
          <w:szCs w:val="20"/>
        </w:rPr>
      </w:pPr>
    </w:p>
    <w:p w14:paraId="14045C01"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Each line of the file will comprise the following (regular characters are literal, </w:t>
      </w:r>
      <w:r w:rsidRPr="00CE66A0">
        <w:rPr>
          <w:rFonts w:ascii="Helvetica" w:hAnsi="Helvetica" w:cs="Helvetica"/>
          <w:b/>
          <w:bCs/>
          <w:sz w:val="20"/>
          <w:szCs w:val="20"/>
        </w:rPr>
        <w:t>BOLDCAPS</w:t>
      </w:r>
      <w:r w:rsidRPr="00CE66A0">
        <w:rPr>
          <w:rFonts w:ascii="Helvetica" w:hAnsi="Helvetica" w:cs="Helvetica"/>
          <w:sz w:val="20"/>
          <w:szCs w:val="20"/>
        </w:rPr>
        <w:t> are symbolic references to a substring format, explained below).</w:t>
      </w:r>
      <w:r>
        <w:rPr>
          <w:rFonts w:ascii="Helvetica" w:hAnsi="Helvetica" w:cs="Helvetica"/>
          <w:sz w:val="20"/>
          <w:szCs w:val="20"/>
        </w:rPr>
        <w:t xml:space="preserve">  Ignore any line wrapping ... input lines will be one line terminated by newline characters.</w:t>
      </w:r>
    </w:p>
    <w:p w14:paraId="064A3C54"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68F90B33" w14:textId="77777777" w:rsidR="00CE66A0" w:rsidRPr="00CE66A0" w:rsidRDefault="00CE66A0" w:rsidP="00CE66A0">
      <w:pPr>
        <w:widowControl w:val="0"/>
        <w:autoSpaceDE w:val="0"/>
        <w:autoSpaceDN w:val="0"/>
        <w:adjustRightInd w:val="0"/>
        <w:rPr>
          <w:rFonts w:ascii="Helvetica" w:hAnsi="Helvetica" w:cs="Helvetica"/>
        </w:rPr>
      </w:pPr>
      <w:r w:rsidRPr="00CE66A0">
        <w:rPr>
          <w:rFonts w:ascii="Helvetica" w:hAnsi="Helvetica" w:cs="Helvetica"/>
        </w:rPr>
        <w:t>"</w:t>
      </w:r>
      <w:r w:rsidRPr="00CE66A0">
        <w:rPr>
          <w:rFonts w:ascii="Helvetica" w:hAnsi="Helvetica" w:cs="Helvetica"/>
          <w:b/>
          <w:bCs/>
        </w:rPr>
        <w:t>PRIMSRCURN</w:t>
      </w:r>
      <w:r w:rsidRPr="00CE66A0">
        <w:rPr>
          <w:rFonts w:ascii="Helvetica" w:hAnsi="Helvetica" w:cs="Helvetica"/>
        </w:rPr>
        <w:t>","</w:t>
      </w:r>
      <w:r w:rsidRPr="00CE66A0">
        <w:rPr>
          <w:rFonts w:ascii="Helvetica" w:hAnsi="Helvetica" w:cs="Helvetica"/>
          <w:b/>
          <w:bCs/>
        </w:rPr>
        <w:t>CMNTSRCURN</w:t>
      </w:r>
      <w:r w:rsidRPr="00CE66A0">
        <w:rPr>
          <w:rFonts w:ascii="Helvetica" w:hAnsi="Helvetica" w:cs="Helvetica"/>
        </w:rPr>
        <w:t>","</w:t>
      </w:r>
      <w:r w:rsidRPr="00CE66A0">
        <w:rPr>
          <w:rFonts w:ascii="Helvetica" w:hAnsi="Helvetica" w:cs="Helvetica"/>
          <w:b/>
          <w:bCs/>
        </w:rPr>
        <w:t>CMNTTYPE</w:t>
      </w:r>
      <w:r w:rsidRPr="00CE66A0">
        <w:rPr>
          <w:rFonts w:ascii="Helvetica" w:hAnsi="Helvetica" w:cs="Helvetica"/>
        </w:rPr>
        <w:t>","</w:t>
      </w:r>
      <w:r w:rsidRPr="00CE66A0">
        <w:rPr>
          <w:rFonts w:ascii="Helvetica" w:hAnsi="Helvetica" w:cs="Helvetica"/>
          <w:b/>
          <w:bCs/>
        </w:rPr>
        <w:t>CMNTTEXT</w:t>
      </w:r>
      <w:r w:rsidRPr="00CE66A0">
        <w:rPr>
          <w:rFonts w:ascii="Helvetica" w:hAnsi="Helvetica" w:cs="Helvetica"/>
        </w:rPr>
        <w:t>"</w:t>
      </w:r>
    </w:p>
    <w:p w14:paraId="352F9592"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Example:</w:t>
      </w:r>
    </w:p>
    <w:p w14:paraId="7D89C70B" w14:textId="28BFAE5A" w:rsidR="00CE66A0" w:rsidRPr="00CE66A0" w:rsidRDefault="00CE66A0" w:rsidP="00CE66A0">
      <w:pPr>
        <w:widowControl w:val="0"/>
        <w:autoSpaceDE w:val="0"/>
        <w:autoSpaceDN w:val="0"/>
        <w:adjustRightInd w:val="0"/>
        <w:ind w:left="720"/>
        <w:rPr>
          <w:rFonts w:ascii="Arial" w:hAnsi="Arial" w:cs="Arial"/>
          <w:sz w:val="20"/>
          <w:szCs w:val="20"/>
        </w:rPr>
      </w:pPr>
      <w:r w:rsidRPr="00CE66A0">
        <w:rPr>
          <w:rFonts w:ascii="Arial" w:hAnsi="Arial" w:cs="Arial"/>
          <w:sz w:val="20"/>
          <w:szCs w:val="20"/>
        </w:rPr>
        <w:t>"urn:cts:greekLit:tlg0013.tlg003:239-242","urn:cts:</w:t>
      </w:r>
      <w:r w:rsidR="00C25FB1">
        <w:rPr>
          <w:rFonts w:ascii="Arial" w:hAnsi="Arial" w:cs="Arial"/>
          <w:sz w:val="20"/>
          <w:szCs w:val="20"/>
        </w:rPr>
        <w:t>ahcip</w:t>
      </w:r>
      <w:r w:rsidRPr="00CE66A0">
        <w:rPr>
          <w:rFonts w:ascii="Arial" w:hAnsi="Arial" w:cs="Arial"/>
          <w:sz w:val="20"/>
          <w:szCs w:val="20"/>
        </w:rPr>
        <w:t>:DouglasFrame.HippotaNestor:</w:t>
      </w:r>
      <w:r w:rsidR="00C25FB1">
        <w:rPr>
          <w:rFonts w:ascii="Arial" w:hAnsi="Arial" w:cs="Arial"/>
          <w:sz w:val="20"/>
          <w:szCs w:val="20"/>
        </w:rPr>
        <w:t>s_</w:t>
      </w:r>
      <w:r w:rsidRPr="00CE66A0">
        <w:rPr>
          <w:rFonts w:ascii="Arial" w:hAnsi="Arial" w:cs="Arial"/>
          <w:sz w:val="20"/>
          <w:szCs w:val="20"/>
        </w:rPr>
        <w:t>712-</w:t>
      </w:r>
      <w:r w:rsidR="00C25FB1">
        <w:rPr>
          <w:rFonts w:ascii="Arial" w:hAnsi="Arial" w:cs="Arial"/>
          <w:sz w:val="20"/>
          <w:szCs w:val="20"/>
        </w:rPr>
        <w:t xml:space="preserve">s_ </w:t>
      </w:r>
      <w:r w:rsidRPr="00CE66A0">
        <w:rPr>
          <w:rFonts w:ascii="Arial" w:hAnsi="Arial" w:cs="Arial"/>
          <w:sz w:val="20"/>
          <w:szCs w:val="20"/>
        </w:rPr>
        <w:t>713","references","analysis of the one real exception to the hymn’s geographical coherence, the Kephisos River’s being out of place, as an expansion by the victors in the First Sacred War (to counter the earlier hymn’s Spartan propaganda following the Second Messenian War)"</w:t>
      </w:r>
    </w:p>
    <w:p w14:paraId="29A5FC5D"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FCF4FEE"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PRIMSRCURN</w:t>
      </w:r>
      <w:r w:rsidRPr="00CE66A0">
        <w:rPr>
          <w:rFonts w:ascii="Helvetica" w:hAnsi="Helvetica" w:cs="Helvetica"/>
          <w:sz w:val="20"/>
          <w:szCs w:val="20"/>
        </w:rPr>
        <w:t> is the CTS greekLit URN for the [primary source] passage to which this commentary applies</w:t>
      </w:r>
    </w:p>
    <w:p w14:paraId="2F3A36A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674E77CE"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CMNTSRCURN</w:t>
      </w:r>
      <w:r w:rsidRPr="00CE66A0">
        <w:rPr>
          <w:rFonts w:ascii="Helvetica" w:hAnsi="Helvetica" w:cs="Helvetica"/>
          <w:sz w:val="20"/>
          <w:szCs w:val="20"/>
        </w:rPr>
        <w:t> is the CTS ahcip URN for the source where this commentary is first made</w:t>
      </w:r>
    </w:p>
    <w:p w14:paraId="4857185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04CA647"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CMNTTYPE</w:t>
      </w:r>
      <w:r w:rsidRPr="00CE66A0">
        <w:rPr>
          <w:rFonts w:ascii="Helvetica" w:hAnsi="Helvetica" w:cs="Helvetica"/>
          <w:sz w:val="20"/>
          <w:szCs w:val="20"/>
        </w:rPr>
        <w:t> is a brief notation of what type of commentary this is. Examples: "reference", "reference to scholia", "translation", "scholia quoted and translated", "reference to I.20.188-194", "Plato’s text of the verses quoted and translated as part of Hippias Minor 369d-370a", and [the winner of the prize for least brief notation]: "reference in the list of passages where the threat of fire to Achaeans from the Trojans is formalized in the theme of “Hektor will burn the ships of the Achaeans”" .  </w:t>
      </w:r>
    </w:p>
    <w:p w14:paraId="5B106BEF" w14:textId="77777777" w:rsidR="0046091E" w:rsidRDefault="0046091E" w:rsidP="00CE66A0">
      <w:pPr>
        <w:widowControl w:val="0"/>
        <w:autoSpaceDE w:val="0"/>
        <w:autoSpaceDN w:val="0"/>
        <w:adjustRightInd w:val="0"/>
        <w:rPr>
          <w:rFonts w:ascii="Helvetica" w:hAnsi="Helvetica" w:cs="Helvetica"/>
          <w:sz w:val="20"/>
          <w:szCs w:val="20"/>
        </w:rPr>
      </w:pPr>
    </w:p>
    <w:p w14:paraId="2793DD3E" w14:textId="28497810" w:rsidR="00CE66A0" w:rsidRPr="00CE66A0" w:rsidRDefault="00CE66A0" w:rsidP="00CE66A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 xml:space="preserve">Note: </w:t>
      </w:r>
      <w:r w:rsidRPr="00CE66A0">
        <w:rPr>
          <w:rFonts w:ascii="Helvetica" w:hAnsi="Helvetica" w:cs="Helvetica"/>
          <w:sz w:val="20"/>
          <w:szCs w:val="20"/>
        </w:rPr>
        <w:t>While I suspect that this was originally intended to be one of a fixed set of values from a taxonomy of commentary types, our human annotators were not so instructed ... or they got carried away in their thoroughness. There are about 169 different variants in this field</w:t>
      </w:r>
      <w:r w:rsidR="0046091E">
        <w:rPr>
          <w:rFonts w:ascii="Helvetica" w:hAnsi="Helvetica" w:cs="Helvetica"/>
          <w:sz w:val="20"/>
          <w:szCs w:val="20"/>
        </w:rPr>
        <w:t xml:space="preserve"> in the first 16 SF files</w:t>
      </w:r>
      <w:r w:rsidRPr="00CE66A0">
        <w:rPr>
          <w:rFonts w:ascii="Helvetica" w:hAnsi="Helvetica" w:cs="Helvetica"/>
          <w:sz w:val="20"/>
          <w:szCs w:val="20"/>
        </w:rPr>
        <w:t>. This is probably something that will have to be fixed in the editing system maybe.</w:t>
      </w:r>
    </w:p>
    <w:p w14:paraId="6E9B592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8B73D60"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CMNTTEXT</w:t>
      </w:r>
      <w:r w:rsidRPr="00CE66A0">
        <w:rPr>
          <w:rFonts w:ascii="Helvetica" w:hAnsi="Helvetica" w:cs="Helvetica"/>
          <w:sz w:val="20"/>
          <w:szCs w:val="20"/>
        </w:rPr>
        <w:t xml:space="preserve"> is a string of text that is </w:t>
      </w:r>
      <w:r w:rsidR="00CF0AA7">
        <w:rPr>
          <w:rFonts w:ascii="Helvetica" w:hAnsi="Helvetica" w:cs="Helvetica"/>
          <w:sz w:val="20"/>
          <w:szCs w:val="20"/>
        </w:rPr>
        <w:t>t</w:t>
      </w:r>
      <w:r w:rsidRPr="00CE66A0">
        <w:rPr>
          <w:rFonts w:ascii="Helvetica" w:hAnsi="Helvetica" w:cs="Helvetica"/>
          <w:sz w:val="20"/>
          <w:szCs w:val="20"/>
        </w:rPr>
        <w:t xml:space="preserve">he </w:t>
      </w:r>
      <w:r w:rsidR="00CF0AA7">
        <w:rPr>
          <w:rFonts w:ascii="Helvetica" w:hAnsi="Helvetica" w:cs="Helvetica"/>
          <w:sz w:val="20"/>
          <w:szCs w:val="20"/>
        </w:rPr>
        <w:t xml:space="preserve">initial </w:t>
      </w:r>
      <w:r w:rsidRPr="00CE66A0">
        <w:rPr>
          <w:rFonts w:ascii="Helvetica" w:hAnsi="Helvetica" w:cs="Helvetica"/>
          <w:sz w:val="20"/>
          <w:szCs w:val="20"/>
        </w:rPr>
        <w:t>commentary itself</w:t>
      </w:r>
      <w:r w:rsidR="00CF0AA7">
        <w:rPr>
          <w:rFonts w:ascii="Helvetica" w:hAnsi="Helvetica" w:cs="Helvetica"/>
          <w:sz w:val="20"/>
          <w:szCs w:val="20"/>
        </w:rPr>
        <w:t>.</w:t>
      </w:r>
    </w:p>
    <w:p w14:paraId="08BA656B" w14:textId="77777777" w:rsidR="00CF0AA7" w:rsidRPr="00CE66A0" w:rsidRDefault="00CF0AA7" w:rsidP="00CE66A0">
      <w:pPr>
        <w:widowControl w:val="0"/>
        <w:autoSpaceDE w:val="0"/>
        <w:autoSpaceDN w:val="0"/>
        <w:adjustRightInd w:val="0"/>
        <w:rPr>
          <w:rFonts w:ascii="Helvetica" w:hAnsi="Helvetica" w:cs="Helvetica"/>
          <w:sz w:val="20"/>
          <w:szCs w:val="20"/>
        </w:rPr>
      </w:pPr>
    </w:p>
    <w:p w14:paraId="71D16FAB"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I believe that</w:t>
      </w:r>
      <w:r w:rsidRPr="00CE66A0">
        <w:rPr>
          <w:rFonts w:ascii="Helvetica" w:hAnsi="Helvetica" w:cs="Helvetica"/>
          <w:b/>
          <w:bCs/>
          <w:sz w:val="20"/>
          <w:szCs w:val="20"/>
        </w:rPr>
        <w:t> CMNTTYPE</w:t>
      </w:r>
      <w:r w:rsidRPr="00CE66A0">
        <w:rPr>
          <w:rFonts w:ascii="Helvetica" w:hAnsi="Helvetica" w:cs="Helvetica"/>
          <w:sz w:val="20"/>
          <w:szCs w:val="20"/>
        </w:rPr>
        <w:t xml:space="preserve"> and </w:t>
      </w:r>
      <w:r w:rsidRPr="00CE66A0">
        <w:rPr>
          <w:rFonts w:ascii="Helvetica" w:hAnsi="Helvetica" w:cs="Helvetica"/>
          <w:b/>
          <w:bCs/>
          <w:sz w:val="20"/>
          <w:szCs w:val="20"/>
        </w:rPr>
        <w:t>CMNTTEXT</w:t>
      </w:r>
      <w:r>
        <w:rPr>
          <w:rFonts w:ascii="Helvetica" w:hAnsi="Helvetica" w:cs="Helvetica"/>
          <w:sz w:val="20"/>
          <w:szCs w:val="20"/>
        </w:rPr>
        <w:t> will be ingested "as is"</w:t>
      </w:r>
    </w:p>
    <w:p w14:paraId="0AB5DD00" w14:textId="77777777" w:rsidR="00CE66A0" w:rsidRDefault="00CE66A0" w:rsidP="00CE66A0">
      <w:pPr>
        <w:widowControl w:val="0"/>
        <w:autoSpaceDE w:val="0"/>
        <w:autoSpaceDN w:val="0"/>
        <w:adjustRightInd w:val="0"/>
        <w:rPr>
          <w:rFonts w:ascii="Helvetica" w:hAnsi="Helvetica" w:cs="Helvetica"/>
          <w:sz w:val="20"/>
          <w:szCs w:val="20"/>
        </w:rPr>
      </w:pPr>
    </w:p>
    <w:p w14:paraId="7DEBEF6F" w14:textId="77777777" w:rsidR="00CE66A0" w:rsidRPr="00CE66A0" w:rsidRDefault="00CE66A0" w:rsidP="00CE66A0">
      <w:pPr>
        <w:widowControl w:val="0"/>
        <w:autoSpaceDE w:val="0"/>
        <w:autoSpaceDN w:val="0"/>
        <w:adjustRightInd w:val="0"/>
        <w:ind w:left="720"/>
        <w:rPr>
          <w:rFonts w:ascii="Helvetica" w:hAnsi="Helvetica" w:cs="Helvetica"/>
          <w:i/>
          <w:sz w:val="20"/>
          <w:szCs w:val="20"/>
        </w:rPr>
      </w:pPr>
      <w:r>
        <w:rPr>
          <w:rFonts w:ascii="Helvetica" w:hAnsi="Helvetica" w:cs="Helvetica"/>
          <w:b/>
          <w:sz w:val="20"/>
          <w:szCs w:val="20"/>
        </w:rPr>
        <w:t>Caveat Programmer:</w:t>
      </w:r>
      <w:r w:rsidRPr="00CE66A0">
        <w:rPr>
          <w:rFonts w:ascii="Helvetica" w:hAnsi="Helvetica" w:cs="Helvetica"/>
          <w:i/>
          <w:sz w:val="20"/>
          <w:szCs w:val="20"/>
        </w:rPr>
        <w:t xml:space="preserve"> </w:t>
      </w:r>
      <w:r w:rsidRPr="00CE66A0">
        <w:rPr>
          <w:rFonts w:ascii="Helvetica" w:hAnsi="Helvetica" w:cs="Helvetica"/>
          <w:b/>
          <w:bCs/>
          <w:i/>
          <w:sz w:val="20"/>
          <w:szCs w:val="20"/>
        </w:rPr>
        <w:t>if</w:t>
      </w:r>
      <w:r w:rsidRPr="00CE66A0">
        <w:rPr>
          <w:rFonts w:ascii="Helvetica" w:hAnsi="Helvetica" w:cs="Helvetica"/>
          <w:i/>
          <w:sz w:val="20"/>
          <w:szCs w:val="20"/>
        </w:rPr>
        <w:t xml:space="preserve"> it is desirable to actually have a taxonomy of commentary "types" in the system, that I recommend that a separate field be allocated for it in the data model and that what is uploaded as </w:t>
      </w:r>
      <w:r w:rsidRPr="00CE66A0">
        <w:rPr>
          <w:rFonts w:ascii="Helvetica" w:hAnsi="Helvetica" w:cs="Helvetica"/>
          <w:b/>
          <w:bCs/>
          <w:i/>
          <w:sz w:val="20"/>
          <w:szCs w:val="20"/>
        </w:rPr>
        <w:t>CMNTTYPE</w:t>
      </w:r>
      <w:r w:rsidRPr="00CE66A0">
        <w:rPr>
          <w:rFonts w:ascii="Helvetica" w:hAnsi="Helvetica" w:cs="Helvetica"/>
          <w:i/>
          <w:sz w:val="20"/>
          <w:szCs w:val="20"/>
        </w:rPr>
        <w:t xml:space="preserve"> be stored as a "hint" for what the value of the commentary type should be set to when editing the commentary. If we have an initial list of what the initial items in that taxonomy should be, the ingest process can make an educated guess (e.g., if </w:t>
      </w:r>
      <w:r w:rsidRPr="00CE66A0">
        <w:rPr>
          <w:rFonts w:ascii="Helvetica" w:hAnsi="Helvetica" w:cs="Helvetica"/>
          <w:b/>
          <w:bCs/>
          <w:i/>
          <w:sz w:val="20"/>
          <w:szCs w:val="20"/>
        </w:rPr>
        <w:t>CMNTTYPE</w:t>
      </w:r>
      <w:r w:rsidRPr="00CE66A0">
        <w:rPr>
          <w:rFonts w:ascii="Helvetica" w:hAnsi="Helvetica" w:cs="Helvetica"/>
          <w:i/>
          <w:sz w:val="20"/>
          <w:szCs w:val="20"/>
        </w:rPr>
        <w:t> == "reference" and 'reference' is in the taxonomy, then set that value on ingest. Otherwise that value should be blank and the editor should set it from a controlled vocabulary menu (with the flexibility to add new types to the system as needed).</w:t>
      </w:r>
    </w:p>
    <w:p w14:paraId="5F4D7C7E"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3AADE1B0"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3BB7F6B4"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format of a </w:t>
      </w:r>
      <w:r w:rsidRPr="00CE66A0">
        <w:rPr>
          <w:rFonts w:ascii="Helvetica" w:hAnsi="Helvetica" w:cs="Helvetica"/>
          <w:b/>
          <w:bCs/>
          <w:sz w:val="20"/>
          <w:szCs w:val="20"/>
        </w:rPr>
        <w:t>PRIMSRCURN</w:t>
      </w:r>
      <w:r w:rsidRPr="00CE66A0">
        <w:rPr>
          <w:rFonts w:ascii="Helvetica" w:hAnsi="Helvetica" w:cs="Helvetica"/>
          <w:sz w:val="20"/>
          <w:szCs w:val="20"/>
        </w:rPr>
        <w:t> is as follows:</w:t>
      </w:r>
    </w:p>
    <w:p w14:paraId="1B802219"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1DA8D03B"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urn:cts:greekLit:</w:t>
      </w:r>
      <w:r w:rsidRPr="00CE66A0">
        <w:rPr>
          <w:rFonts w:ascii="Helvetica" w:hAnsi="Helvetica" w:cs="Helvetica"/>
          <w:b/>
          <w:bCs/>
          <w:sz w:val="20"/>
          <w:szCs w:val="20"/>
        </w:rPr>
        <w:t>PSWORK</w:t>
      </w:r>
      <w:r w:rsidRPr="00CE66A0">
        <w:rPr>
          <w:rFonts w:ascii="Helvetica" w:hAnsi="Helvetica" w:cs="Helvetica"/>
          <w:sz w:val="20"/>
          <w:szCs w:val="20"/>
        </w:rPr>
        <w:t>:</w:t>
      </w:r>
      <w:r w:rsidRPr="00CE66A0">
        <w:rPr>
          <w:rFonts w:ascii="Helvetica" w:hAnsi="Helvetica" w:cs="Helvetica"/>
          <w:b/>
          <w:bCs/>
          <w:sz w:val="20"/>
          <w:szCs w:val="20"/>
        </w:rPr>
        <w:t>PSPASSAGE</w:t>
      </w:r>
    </w:p>
    <w:p w14:paraId="70493548"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438E00CB"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where </w:t>
      </w:r>
      <w:r w:rsidRPr="00CE66A0">
        <w:rPr>
          <w:rFonts w:ascii="Helvetica" w:hAnsi="Helvetica" w:cs="Helvetica"/>
          <w:b/>
          <w:bCs/>
          <w:sz w:val="20"/>
          <w:szCs w:val="20"/>
        </w:rPr>
        <w:t>PSWORK</w:t>
      </w:r>
      <w:r w:rsidRPr="00CE66A0">
        <w:rPr>
          <w:rFonts w:ascii="Helvetica" w:hAnsi="Helvetica" w:cs="Helvetica"/>
          <w:sz w:val="20"/>
          <w:szCs w:val="20"/>
        </w:rPr>
        <w:t xml:space="preserve"> will come from a well-defined set of strings, such as </w:t>
      </w:r>
      <w:r w:rsidR="006650F5">
        <w:rPr>
          <w:rFonts w:ascii="Helvetica" w:hAnsi="Helvetica" w:cs="Helvetica"/>
          <w:sz w:val="20"/>
          <w:szCs w:val="20"/>
        </w:rPr>
        <w:t>t</w:t>
      </w:r>
      <w:r w:rsidRPr="00CE66A0">
        <w:rPr>
          <w:rFonts w:ascii="Helvetica" w:hAnsi="Helvetica" w:cs="Helvetica"/>
          <w:sz w:val="20"/>
          <w:szCs w:val="20"/>
        </w:rPr>
        <w:t xml:space="preserve">lg0012.tlg001 for Homer's </w:t>
      </w:r>
      <w:r w:rsidRPr="00CE66A0">
        <w:rPr>
          <w:rFonts w:ascii="Helvetica" w:hAnsi="Helvetica" w:cs="Helvetica"/>
          <w:i/>
          <w:iCs/>
          <w:sz w:val="20"/>
          <w:szCs w:val="20"/>
        </w:rPr>
        <w:t>Iliad</w:t>
      </w:r>
      <w:r w:rsidRPr="00CE66A0">
        <w:rPr>
          <w:rFonts w:ascii="Helvetica" w:hAnsi="Helvetica" w:cs="Helvetica"/>
          <w:sz w:val="20"/>
          <w:szCs w:val="20"/>
        </w:rPr>
        <w:t> </w:t>
      </w:r>
      <w:r w:rsidR="006650F5">
        <w:rPr>
          <w:rFonts w:ascii="Helvetica" w:hAnsi="Helvetica" w:cs="Helvetica"/>
          <w:sz w:val="20"/>
          <w:szCs w:val="20"/>
        </w:rPr>
        <w:t xml:space="preserve"> </w:t>
      </w:r>
      <w:r w:rsidRPr="00CE66A0">
        <w:rPr>
          <w:rFonts w:ascii="Helvetica" w:hAnsi="Helvetica" w:cs="Helvetica"/>
          <w:sz w:val="20"/>
          <w:szCs w:val="20"/>
        </w:rPr>
        <w:t xml:space="preserve">tlg0013.tlg003 for </w:t>
      </w:r>
      <w:r w:rsidRPr="00CE66A0">
        <w:rPr>
          <w:rFonts w:ascii="Helvetica" w:hAnsi="Helvetica" w:cs="Helvetica"/>
          <w:i/>
          <w:iCs/>
          <w:sz w:val="20"/>
          <w:szCs w:val="20"/>
        </w:rPr>
        <w:t>Homeric Hymn</w:t>
      </w:r>
      <w:r w:rsidR="00EA0C62">
        <w:rPr>
          <w:rFonts w:ascii="Helvetica" w:hAnsi="Helvetica" w:cs="Helvetica"/>
          <w:i/>
          <w:iCs/>
          <w:sz w:val="20"/>
          <w:szCs w:val="20"/>
        </w:rPr>
        <w:t xml:space="preserve"> 3</w:t>
      </w:r>
      <w:r w:rsidRPr="00CE66A0">
        <w:rPr>
          <w:rFonts w:ascii="Helvetica" w:hAnsi="Helvetica" w:cs="Helvetica"/>
          <w:i/>
          <w:iCs/>
          <w:sz w:val="20"/>
          <w:szCs w:val="20"/>
        </w:rPr>
        <w:t xml:space="preserve"> </w:t>
      </w:r>
      <w:r w:rsidR="00EA0C62" w:rsidRPr="00EA0C62">
        <w:rPr>
          <w:rFonts w:ascii="Helvetica" w:hAnsi="Helvetica" w:cs="Helvetica"/>
          <w:iCs/>
          <w:sz w:val="20"/>
          <w:szCs w:val="20"/>
        </w:rPr>
        <w:t>(</w:t>
      </w:r>
      <w:r w:rsidRPr="00EA0C62">
        <w:rPr>
          <w:rFonts w:ascii="Helvetica" w:hAnsi="Helvetica" w:cs="Helvetica"/>
          <w:iCs/>
          <w:sz w:val="20"/>
          <w:szCs w:val="20"/>
        </w:rPr>
        <w:t>to Apollo</w:t>
      </w:r>
      <w:r w:rsidR="00EA0C62" w:rsidRPr="00EA0C62">
        <w:rPr>
          <w:rFonts w:ascii="Helvetica" w:hAnsi="Helvetica" w:cs="Helvetica"/>
          <w:iCs/>
          <w:sz w:val="20"/>
          <w:szCs w:val="20"/>
        </w:rPr>
        <w:t>)</w:t>
      </w:r>
      <w:r>
        <w:rPr>
          <w:rFonts w:ascii="Helvetica" w:hAnsi="Helvetica" w:cs="Helvetica"/>
          <w:sz w:val="20"/>
          <w:szCs w:val="20"/>
        </w:rPr>
        <w:t>, etc.</w:t>
      </w:r>
      <w:r w:rsidR="002E0100">
        <w:rPr>
          <w:rFonts w:ascii="Helvetica" w:hAnsi="Helvetica" w:cs="Helvetica"/>
          <w:sz w:val="20"/>
          <w:szCs w:val="20"/>
        </w:rPr>
        <w:t xml:space="preserve"> There will be a complete list with correct Human-readable names.</w:t>
      </w:r>
    </w:p>
    <w:p w14:paraId="39C14C7B" w14:textId="77777777" w:rsidR="008C2D83" w:rsidRDefault="008C2D83" w:rsidP="00CE66A0">
      <w:pPr>
        <w:widowControl w:val="0"/>
        <w:autoSpaceDE w:val="0"/>
        <w:autoSpaceDN w:val="0"/>
        <w:adjustRightInd w:val="0"/>
        <w:rPr>
          <w:rFonts w:ascii="Helvetica" w:hAnsi="Helvetica" w:cs="Helvetica"/>
          <w:sz w:val="20"/>
          <w:szCs w:val="20"/>
        </w:rPr>
      </w:pPr>
    </w:p>
    <w:p w14:paraId="479FD144" w14:textId="77777777" w:rsidR="00CE66A0" w:rsidRPr="008C2D83" w:rsidRDefault="002E0100" w:rsidP="002E010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Caveat Programmer:</w:t>
      </w:r>
      <w:r>
        <w:rPr>
          <w:rFonts w:ascii="Helvetica" w:hAnsi="Helvetica" w:cs="Helvetica"/>
          <w:sz w:val="20"/>
          <w:szCs w:val="20"/>
        </w:rPr>
        <w:t xml:space="preserve"> there are </w:t>
      </w:r>
      <w:r w:rsidR="00CE66A0" w:rsidRPr="00CE66A0">
        <w:rPr>
          <w:rFonts w:ascii="Helvetica" w:hAnsi="Helvetica" w:cs="Helvetica"/>
          <w:sz w:val="20"/>
          <w:szCs w:val="20"/>
        </w:rPr>
        <w:t xml:space="preserve">two optional components of </w:t>
      </w:r>
      <w:r w:rsidR="00CE66A0" w:rsidRPr="00CE66A0">
        <w:rPr>
          <w:rFonts w:ascii="Helvetica" w:hAnsi="Helvetica" w:cs="Helvetica"/>
          <w:b/>
          <w:bCs/>
          <w:sz w:val="20"/>
          <w:szCs w:val="20"/>
        </w:rPr>
        <w:t>PSWORK</w:t>
      </w:r>
      <w:r w:rsidR="00CE66A0" w:rsidRPr="00CE66A0">
        <w:rPr>
          <w:rFonts w:ascii="Helvetica" w:hAnsi="Helvetica" w:cs="Helvetica"/>
          <w:sz w:val="20"/>
          <w:szCs w:val="20"/>
        </w:rPr>
        <w:t> that we're not using presently that can be used to point to a specific version and instance ("exemplar" in the </w:t>
      </w:r>
      <w:hyperlink r:id="rId9" w:history="1">
        <w:r w:rsidR="00CE66A0" w:rsidRPr="00CE66A0">
          <w:rPr>
            <w:rFonts w:ascii="Helvetica" w:hAnsi="Helvetica" w:cs="Helvetica"/>
            <w:color w:val="386EFF"/>
            <w:sz w:val="20"/>
            <w:szCs w:val="20"/>
            <w:u w:val="single" w:color="386EFF"/>
          </w:rPr>
          <w:t>CTS URN specification</w:t>
        </w:r>
      </w:hyperlink>
      <w:r w:rsidR="00CE66A0" w:rsidRPr="00CE66A0">
        <w:rPr>
          <w:rFonts w:ascii="Helvetica" w:hAnsi="Helvetica" w:cs="Helvetica"/>
          <w:sz w:val="20"/>
          <w:szCs w:val="20"/>
        </w:rPr>
        <w:t>). It is something to keep far in the back of our minds if AHCIP is going to actually refer to and/or retrieve text from other online sources, that we'll have to map between these abstract text references and a URI (with embedded full CTS URN) of the text.</w:t>
      </w:r>
      <w:r w:rsidR="008C2D83">
        <w:rPr>
          <w:rFonts w:ascii="Helvetica" w:hAnsi="Helvetica" w:cs="Helvetica"/>
          <w:sz w:val="20"/>
          <w:szCs w:val="20"/>
        </w:rPr>
        <w:t xml:space="preserve"> It is also valid for a CTS URN to be suffixed with a </w:t>
      </w:r>
      <w:r w:rsidR="008C2D83">
        <w:rPr>
          <w:rFonts w:ascii="Helvetica" w:hAnsi="Helvetica" w:cs="Helvetica"/>
          <w:b/>
          <w:sz w:val="20"/>
          <w:szCs w:val="20"/>
        </w:rPr>
        <w:t>REFERENCE</w:t>
      </w:r>
      <w:r w:rsidR="008C2D83">
        <w:rPr>
          <w:rFonts w:ascii="Helvetica" w:hAnsi="Helvetica" w:cs="Helvetica"/>
          <w:sz w:val="20"/>
          <w:szCs w:val="20"/>
        </w:rPr>
        <w:t xml:space="preserve"> component which begins with an @ and is followed by a word in the referenced passage. </w:t>
      </w:r>
    </w:p>
    <w:p w14:paraId="592BFB96"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075F9A30" w14:textId="77777777" w:rsidR="002E010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PSPASSAGE</w:t>
      </w:r>
      <w:r w:rsidRPr="00CE66A0">
        <w:rPr>
          <w:rFonts w:ascii="Helvetica" w:hAnsi="Helvetica" w:cs="Helvetica"/>
          <w:sz w:val="20"/>
          <w:szCs w:val="20"/>
        </w:rPr>
        <w:t xml:space="preserve"> format depends on what </w:t>
      </w:r>
      <w:r w:rsidRPr="00CE66A0">
        <w:rPr>
          <w:rFonts w:ascii="Helvetica" w:hAnsi="Helvetica" w:cs="Helvetica"/>
          <w:b/>
          <w:bCs/>
          <w:sz w:val="20"/>
          <w:szCs w:val="20"/>
        </w:rPr>
        <w:t>PSWORK</w:t>
      </w:r>
      <w:r w:rsidR="002E0100">
        <w:rPr>
          <w:rFonts w:ascii="Helvetica" w:hAnsi="Helvetica" w:cs="Helvetica"/>
          <w:sz w:val="20"/>
          <w:szCs w:val="20"/>
        </w:rPr>
        <w:t> is:</w:t>
      </w:r>
    </w:p>
    <w:p w14:paraId="79AADE1A" w14:textId="77777777" w:rsidR="00EA0C62" w:rsidRDefault="00EA0C62" w:rsidP="00CE66A0">
      <w:pPr>
        <w:widowControl w:val="0"/>
        <w:autoSpaceDE w:val="0"/>
        <w:autoSpaceDN w:val="0"/>
        <w:adjustRightInd w:val="0"/>
        <w:rPr>
          <w:rFonts w:ascii="Helvetica" w:hAnsi="Helvetica" w:cs="Helvetica"/>
          <w:sz w:val="20"/>
          <w:szCs w:val="20"/>
        </w:rPr>
      </w:pPr>
    </w:p>
    <w:p w14:paraId="2B179444" w14:textId="77777777" w:rsidR="00EA0C62" w:rsidRPr="00EA0C62" w:rsidRDefault="00CE66A0" w:rsidP="00EA0C62">
      <w:pPr>
        <w:pStyle w:val="ListParagraph"/>
        <w:widowControl w:val="0"/>
        <w:numPr>
          <w:ilvl w:val="0"/>
          <w:numId w:val="1"/>
        </w:numPr>
        <w:autoSpaceDE w:val="0"/>
        <w:autoSpaceDN w:val="0"/>
        <w:adjustRightInd w:val="0"/>
        <w:rPr>
          <w:rFonts w:ascii="Helvetica" w:hAnsi="Helvetica" w:cs="Helvetica"/>
          <w:sz w:val="20"/>
          <w:szCs w:val="20"/>
        </w:rPr>
      </w:pPr>
      <w:r w:rsidRPr="00EA0C62">
        <w:rPr>
          <w:rFonts w:ascii="Helvetica" w:hAnsi="Helvetica" w:cs="Helvetica"/>
          <w:sz w:val="20"/>
          <w:szCs w:val="20"/>
        </w:rPr>
        <w:t xml:space="preserve">Where </w:t>
      </w:r>
      <w:r w:rsidRPr="00EA0C62">
        <w:rPr>
          <w:rFonts w:ascii="Helvetica" w:hAnsi="Helvetica" w:cs="Helvetica"/>
          <w:b/>
          <w:bCs/>
          <w:sz w:val="20"/>
          <w:szCs w:val="20"/>
        </w:rPr>
        <w:t>PSWORK</w:t>
      </w:r>
      <w:r w:rsidRPr="00EA0C62">
        <w:rPr>
          <w:rFonts w:ascii="Helvetica" w:hAnsi="Helvetica" w:cs="Helvetica"/>
          <w:sz w:val="20"/>
          <w:szCs w:val="20"/>
        </w:rPr>
        <w:t> </w:t>
      </w:r>
      <w:r w:rsidR="008C2D83">
        <w:rPr>
          <w:rFonts w:ascii="Helvetica" w:hAnsi="Helvetica" w:cs="Helvetica"/>
          <w:sz w:val="20"/>
          <w:szCs w:val="20"/>
        </w:rPr>
        <w:t>begins with</w:t>
      </w:r>
      <w:r w:rsidRPr="00EA0C62">
        <w:rPr>
          <w:rFonts w:ascii="Helvetica" w:hAnsi="Helvetica" w:cs="Helvetica"/>
          <w:sz w:val="20"/>
          <w:szCs w:val="20"/>
        </w:rPr>
        <w:t xml:space="preserve"> tlg0012.</w:t>
      </w:r>
      <w:r w:rsidR="008C2D83">
        <w:rPr>
          <w:rFonts w:ascii="Helvetica" w:hAnsi="Helvetica" w:cs="Helvetica"/>
          <w:sz w:val="20"/>
          <w:szCs w:val="20"/>
        </w:rPr>
        <w:t>*  (</w:t>
      </w:r>
      <w:r w:rsidR="008C2D83">
        <w:rPr>
          <w:rFonts w:ascii="Helvetica" w:hAnsi="Helvetica" w:cs="Helvetica"/>
          <w:i/>
          <w:sz w:val="20"/>
          <w:szCs w:val="20"/>
        </w:rPr>
        <w:t xml:space="preserve">Iliad </w:t>
      </w:r>
      <w:r w:rsidR="008C2D83">
        <w:rPr>
          <w:rFonts w:ascii="Helvetica" w:hAnsi="Helvetica" w:cs="Helvetica"/>
          <w:sz w:val="20"/>
          <w:szCs w:val="20"/>
        </w:rPr>
        <w:t xml:space="preserve"> and </w:t>
      </w:r>
      <w:r w:rsidR="008C2D83">
        <w:rPr>
          <w:rFonts w:ascii="Helvetica" w:hAnsi="Helvetica" w:cs="Helvetica"/>
          <w:i/>
          <w:sz w:val="20"/>
          <w:szCs w:val="20"/>
        </w:rPr>
        <w:t xml:space="preserve">Odyssey) </w:t>
      </w:r>
      <w:r w:rsidRPr="008C2D83">
        <w:rPr>
          <w:rFonts w:ascii="Helvetica" w:hAnsi="Helvetica" w:cs="Helvetica"/>
          <w:sz w:val="20"/>
          <w:szCs w:val="20"/>
        </w:rPr>
        <w:t>the</w:t>
      </w:r>
      <w:r w:rsidRPr="00EA0C62">
        <w:rPr>
          <w:rFonts w:ascii="Helvetica" w:hAnsi="Helvetica" w:cs="Helvetica"/>
          <w:sz w:val="20"/>
          <w:szCs w:val="20"/>
        </w:rPr>
        <w:t xml:space="preserve"> format will be either </w:t>
      </w:r>
      <w:r w:rsidRPr="00EA0C62">
        <w:rPr>
          <w:rFonts w:ascii="Helvetica" w:hAnsi="Helvetica" w:cs="Helvetica"/>
          <w:b/>
          <w:bCs/>
          <w:sz w:val="20"/>
          <w:szCs w:val="20"/>
        </w:rPr>
        <w:t>BOOK</w:t>
      </w:r>
      <w:r w:rsidRPr="00EA0C62">
        <w:rPr>
          <w:rFonts w:ascii="Helvetica" w:hAnsi="Helvetica" w:cs="Helvetica"/>
          <w:sz w:val="20"/>
          <w:szCs w:val="20"/>
        </w:rPr>
        <w:t>.</w:t>
      </w:r>
      <w:r w:rsidRPr="00EA0C62">
        <w:rPr>
          <w:rFonts w:ascii="Helvetica" w:hAnsi="Helvetica" w:cs="Helvetica"/>
          <w:b/>
          <w:bCs/>
          <w:sz w:val="20"/>
          <w:szCs w:val="20"/>
        </w:rPr>
        <w:t>LINE</w:t>
      </w:r>
      <w:r w:rsidRPr="00EA0C62">
        <w:rPr>
          <w:rFonts w:ascii="Helvetica" w:hAnsi="Helvetica" w:cs="Helvetica"/>
          <w:sz w:val="20"/>
          <w:szCs w:val="20"/>
        </w:rPr>
        <w:t xml:space="preserve"> or a range </w:t>
      </w:r>
      <w:r w:rsidRPr="00EA0C62">
        <w:rPr>
          <w:rFonts w:ascii="Helvetica" w:hAnsi="Helvetica" w:cs="Helvetica"/>
          <w:b/>
          <w:bCs/>
          <w:sz w:val="20"/>
          <w:szCs w:val="20"/>
        </w:rPr>
        <w:t>BOOK1</w:t>
      </w:r>
      <w:r w:rsidRPr="00EA0C62">
        <w:rPr>
          <w:rFonts w:ascii="Helvetica" w:hAnsi="Helvetica" w:cs="Helvetica"/>
          <w:sz w:val="20"/>
          <w:szCs w:val="20"/>
        </w:rPr>
        <w:t>.</w:t>
      </w:r>
      <w:r w:rsidRPr="00EA0C62">
        <w:rPr>
          <w:rFonts w:ascii="Helvetica" w:hAnsi="Helvetica" w:cs="Helvetica"/>
          <w:b/>
          <w:bCs/>
          <w:sz w:val="20"/>
          <w:szCs w:val="20"/>
        </w:rPr>
        <w:t>LINE1</w:t>
      </w:r>
      <w:r w:rsidRPr="00EA0C62">
        <w:rPr>
          <w:rFonts w:ascii="Helvetica" w:hAnsi="Helvetica" w:cs="Helvetica"/>
          <w:sz w:val="20"/>
          <w:szCs w:val="20"/>
        </w:rPr>
        <w:t>-</w:t>
      </w:r>
      <w:r w:rsidRPr="00EA0C62">
        <w:rPr>
          <w:rFonts w:ascii="Helvetica" w:hAnsi="Helvetica" w:cs="Helvetica"/>
          <w:b/>
          <w:bCs/>
          <w:sz w:val="20"/>
          <w:szCs w:val="20"/>
        </w:rPr>
        <w:t>BOOK2</w:t>
      </w:r>
      <w:r w:rsidRPr="00EA0C62">
        <w:rPr>
          <w:rFonts w:ascii="Helvetica" w:hAnsi="Helvetica" w:cs="Helvetica"/>
          <w:sz w:val="20"/>
          <w:szCs w:val="20"/>
        </w:rPr>
        <w:t>.</w:t>
      </w:r>
      <w:r w:rsidRPr="00EA0C62">
        <w:rPr>
          <w:rFonts w:ascii="Helvetica" w:hAnsi="Helvetica" w:cs="Helvetica"/>
          <w:b/>
          <w:bCs/>
          <w:sz w:val="20"/>
          <w:szCs w:val="20"/>
        </w:rPr>
        <w:t>LINE2</w:t>
      </w:r>
      <w:r w:rsidRPr="00EA0C62">
        <w:rPr>
          <w:rFonts w:ascii="Helvetica" w:hAnsi="Helvetica" w:cs="Helvetica"/>
          <w:sz w:val="20"/>
          <w:szCs w:val="20"/>
        </w:rPr>
        <w:t xml:space="preserve"> ... where </w:t>
      </w:r>
      <w:r w:rsidRPr="00EA0C62">
        <w:rPr>
          <w:rFonts w:ascii="Helvetica" w:hAnsi="Helvetica" w:cs="Helvetica"/>
          <w:b/>
          <w:bCs/>
          <w:sz w:val="20"/>
          <w:szCs w:val="20"/>
        </w:rPr>
        <w:t>BOOK*</w:t>
      </w:r>
      <w:r w:rsidRPr="00EA0C62">
        <w:rPr>
          <w:rFonts w:ascii="Helvetica" w:hAnsi="Helvetica" w:cs="Helvetica"/>
          <w:sz w:val="20"/>
          <w:szCs w:val="20"/>
        </w:rPr>
        <w:t xml:space="preserve"> is always an integer &gt; 0 and </w:t>
      </w:r>
      <w:r w:rsidRPr="00EA0C62">
        <w:rPr>
          <w:rFonts w:ascii="Helvetica" w:hAnsi="Helvetica" w:cs="Helvetica"/>
          <w:b/>
          <w:bCs/>
          <w:sz w:val="20"/>
          <w:szCs w:val="20"/>
        </w:rPr>
        <w:t>LINE*</w:t>
      </w:r>
      <w:r w:rsidRPr="00EA0C62">
        <w:rPr>
          <w:rFonts w:ascii="Helvetica" w:hAnsi="Helvetica" w:cs="Helvetica"/>
          <w:sz w:val="20"/>
          <w:szCs w:val="20"/>
        </w:rPr>
        <w:t> is either an integer &gt; 0</w:t>
      </w:r>
      <w:r w:rsidR="008C2D83">
        <w:rPr>
          <w:rFonts w:ascii="Helvetica" w:hAnsi="Helvetica" w:cs="Helvetica"/>
          <w:sz w:val="20"/>
          <w:szCs w:val="20"/>
        </w:rPr>
        <w:t xml:space="preserve"> or, in</w:t>
      </w:r>
      <w:r w:rsidR="00025F44" w:rsidRPr="00EA0C62">
        <w:rPr>
          <w:rFonts w:ascii="Helvetica" w:hAnsi="Helvetica" w:cs="Helvetica"/>
          <w:sz w:val="20"/>
          <w:szCs w:val="20"/>
        </w:rPr>
        <w:t xml:space="preserve"> some cases, the integer is suf</w:t>
      </w:r>
      <w:r w:rsidR="005656D4" w:rsidRPr="00EA0C62">
        <w:rPr>
          <w:rFonts w:ascii="Helvetica" w:hAnsi="Helvetica" w:cs="Helvetica"/>
          <w:sz w:val="20"/>
          <w:szCs w:val="20"/>
        </w:rPr>
        <w:t>ffixed with letters or numerals, such as "a" or "b" or "c1" or "f." or "ff.</w:t>
      </w:r>
      <w:r w:rsidR="00EA0C62">
        <w:rPr>
          <w:rFonts w:ascii="Helvetica" w:hAnsi="Helvetica" w:cs="Helvetica"/>
          <w:sz w:val="20"/>
          <w:szCs w:val="20"/>
        </w:rPr>
        <w:t>"</w:t>
      </w:r>
      <w:r w:rsidR="00EA0C62">
        <w:rPr>
          <w:rFonts w:ascii="Helvetica" w:hAnsi="Helvetica" w:cs="Helvetica"/>
          <w:sz w:val="20"/>
          <w:szCs w:val="20"/>
        </w:rPr>
        <w:br/>
      </w:r>
    </w:p>
    <w:p w14:paraId="429FC241" w14:textId="16713FF6" w:rsidR="002E0100" w:rsidRDefault="002E0100" w:rsidP="00EA0C62">
      <w:pPr>
        <w:widowControl w:val="0"/>
        <w:autoSpaceDE w:val="0"/>
        <w:autoSpaceDN w:val="0"/>
        <w:adjustRightInd w:val="0"/>
        <w:ind w:left="1440"/>
        <w:rPr>
          <w:rFonts w:ascii="Helvetica" w:hAnsi="Helvetica" w:cs="Helvetica"/>
          <w:sz w:val="20"/>
          <w:szCs w:val="20"/>
        </w:rPr>
      </w:pPr>
      <w:r>
        <w:rPr>
          <w:rFonts w:ascii="Helvetica" w:hAnsi="Helvetica" w:cs="Helvetica"/>
          <w:b/>
          <w:sz w:val="20"/>
          <w:szCs w:val="20"/>
        </w:rPr>
        <w:t>Note:</w:t>
      </w:r>
      <w:r>
        <w:rPr>
          <w:rFonts w:ascii="Helvetica" w:hAnsi="Helvetica" w:cs="Helvetica"/>
          <w:sz w:val="20"/>
          <w:szCs w:val="20"/>
        </w:rPr>
        <w:t xml:space="preserve"> I'm waiting for an explanation of what the letters mean</w:t>
      </w:r>
      <w:r w:rsidR="0046091E">
        <w:rPr>
          <w:rFonts w:ascii="Helvetica" w:hAnsi="Helvetica" w:cs="Helvetica"/>
          <w:sz w:val="20"/>
          <w:szCs w:val="20"/>
        </w:rPr>
        <w:t>.</w:t>
      </w:r>
    </w:p>
    <w:p w14:paraId="05EC1162" w14:textId="77777777" w:rsidR="00EA0C62" w:rsidRDefault="00EA0C62" w:rsidP="00EA0C62">
      <w:pPr>
        <w:widowControl w:val="0"/>
        <w:autoSpaceDE w:val="0"/>
        <w:autoSpaceDN w:val="0"/>
        <w:adjustRightInd w:val="0"/>
        <w:ind w:left="1440"/>
        <w:rPr>
          <w:rFonts w:ascii="Helvetica" w:hAnsi="Helvetica" w:cs="Helvetica"/>
          <w:sz w:val="20"/>
          <w:szCs w:val="20"/>
        </w:rPr>
      </w:pPr>
    </w:p>
    <w:p w14:paraId="4C6380F1" w14:textId="77777777" w:rsidR="00EA0C62" w:rsidRPr="00D44F37" w:rsidRDefault="00EA0C62" w:rsidP="00EA0C62">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 xml:space="preserve">Where </w:t>
      </w:r>
      <w:r>
        <w:rPr>
          <w:rFonts w:ascii="Helvetica" w:hAnsi="Helvetica" w:cs="Helvetica"/>
          <w:b/>
          <w:sz w:val="20"/>
          <w:szCs w:val="20"/>
        </w:rPr>
        <w:t>PSWORK</w:t>
      </w:r>
      <w:r>
        <w:rPr>
          <w:rFonts w:ascii="Helvetica" w:hAnsi="Helvetica" w:cs="Helvetica"/>
          <w:sz w:val="20"/>
          <w:szCs w:val="20"/>
        </w:rPr>
        <w:t xml:space="preserve"> == tlg0013.*</w:t>
      </w:r>
      <w:r w:rsidR="008C2D83">
        <w:rPr>
          <w:rFonts w:ascii="Helvetica" w:hAnsi="Helvetica" w:cs="Helvetica"/>
          <w:sz w:val="20"/>
          <w:szCs w:val="20"/>
        </w:rPr>
        <w:t xml:space="preserve"> (</w:t>
      </w:r>
      <w:r w:rsidR="008C2D83">
        <w:rPr>
          <w:rFonts w:ascii="Helvetica" w:hAnsi="Helvetica" w:cs="Helvetica"/>
          <w:i/>
          <w:sz w:val="20"/>
          <w:szCs w:val="20"/>
        </w:rPr>
        <w:t>Homeric Hymns</w:t>
      </w:r>
      <w:r w:rsidR="008C2D83">
        <w:rPr>
          <w:rFonts w:ascii="Helvetica" w:hAnsi="Helvetica" w:cs="Helvetica"/>
          <w:sz w:val="20"/>
          <w:szCs w:val="20"/>
        </w:rPr>
        <w:t xml:space="preserve">) the format will be </w:t>
      </w:r>
      <w:r w:rsidR="008C2D83">
        <w:rPr>
          <w:rFonts w:ascii="Helvetica" w:hAnsi="Helvetica" w:cs="Helvetica"/>
          <w:b/>
          <w:sz w:val="20"/>
          <w:szCs w:val="20"/>
        </w:rPr>
        <w:t>LINE</w:t>
      </w:r>
      <w:r w:rsidR="008C2D83">
        <w:rPr>
          <w:rFonts w:ascii="Helvetica" w:hAnsi="Helvetica" w:cs="Helvetica"/>
          <w:sz w:val="20"/>
          <w:szCs w:val="20"/>
        </w:rPr>
        <w:t xml:space="preserve"> or a range </w:t>
      </w:r>
      <w:r w:rsidR="008C2D83">
        <w:rPr>
          <w:rFonts w:ascii="Helvetica" w:hAnsi="Helvetica" w:cs="Helvetica"/>
          <w:b/>
          <w:sz w:val="20"/>
          <w:szCs w:val="20"/>
        </w:rPr>
        <w:t>LINE1-LINE2</w:t>
      </w:r>
      <w:r w:rsidR="008C2D83">
        <w:rPr>
          <w:rFonts w:ascii="Helvetica" w:hAnsi="Helvetica" w:cs="Helvetica"/>
          <w:sz w:val="20"/>
          <w:szCs w:val="20"/>
        </w:rPr>
        <w:t xml:space="preserve"> where </w:t>
      </w:r>
      <w:r w:rsidR="008C2D83">
        <w:rPr>
          <w:rFonts w:ascii="Helvetica" w:hAnsi="Helvetica" w:cs="Helvetica"/>
          <w:b/>
          <w:sz w:val="20"/>
          <w:szCs w:val="20"/>
        </w:rPr>
        <w:t>LINE*</w:t>
      </w:r>
      <w:r w:rsidR="008C2D83">
        <w:rPr>
          <w:rFonts w:ascii="Helvetica" w:hAnsi="Helvetica" w:cs="Helvetica"/>
          <w:sz w:val="20"/>
          <w:szCs w:val="20"/>
        </w:rPr>
        <w:t xml:space="preserve"> is always an integer &gt; 0. </w:t>
      </w:r>
    </w:p>
    <w:p w14:paraId="20567B10"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6837376F" w14:textId="77777777" w:rsidR="00A0252E" w:rsidRDefault="00A0252E" w:rsidP="00CE66A0">
      <w:pPr>
        <w:widowControl w:val="0"/>
        <w:autoSpaceDE w:val="0"/>
        <w:autoSpaceDN w:val="0"/>
        <w:adjustRightInd w:val="0"/>
        <w:rPr>
          <w:rFonts w:ascii="Helvetica" w:hAnsi="Helvetica" w:cs="Helvetica"/>
          <w:bCs/>
          <w:sz w:val="20"/>
          <w:szCs w:val="20"/>
        </w:rPr>
      </w:pPr>
    </w:p>
    <w:p w14:paraId="30BBE2AA" w14:textId="77777777" w:rsidR="006650F5" w:rsidRDefault="006650F5" w:rsidP="00CE66A0">
      <w:pPr>
        <w:widowControl w:val="0"/>
        <w:autoSpaceDE w:val="0"/>
        <w:autoSpaceDN w:val="0"/>
        <w:adjustRightInd w:val="0"/>
        <w:rPr>
          <w:rFonts w:ascii="Helvetica" w:hAnsi="Helvetica" w:cs="Helvetica"/>
          <w:sz w:val="20"/>
          <w:szCs w:val="20"/>
        </w:rPr>
      </w:pPr>
      <w:r w:rsidRPr="006650F5">
        <w:rPr>
          <w:rFonts w:ascii="Helvetica" w:hAnsi="Helvetica" w:cs="Helvetica"/>
          <w:bCs/>
          <w:sz w:val="20"/>
          <w:szCs w:val="20"/>
        </w:rPr>
        <w:t xml:space="preserve">The format </w:t>
      </w:r>
      <w:r>
        <w:rPr>
          <w:rFonts w:ascii="Helvetica" w:hAnsi="Helvetica" w:cs="Helvetica"/>
          <w:bCs/>
          <w:sz w:val="20"/>
          <w:szCs w:val="20"/>
        </w:rPr>
        <w:t xml:space="preserve">of a </w:t>
      </w:r>
      <w:r w:rsidR="00CE66A0" w:rsidRPr="00CE66A0">
        <w:rPr>
          <w:rFonts w:ascii="Helvetica" w:hAnsi="Helvetica" w:cs="Helvetica"/>
          <w:b/>
          <w:bCs/>
          <w:sz w:val="20"/>
          <w:szCs w:val="20"/>
        </w:rPr>
        <w:t>CMNTSCRURN</w:t>
      </w:r>
      <w:r>
        <w:rPr>
          <w:rFonts w:ascii="Helvetica" w:hAnsi="Helvetica" w:cs="Helvetica"/>
          <w:sz w:val="20"/>
          <w:szCs w:val="20"/>
        </w:rPr>
        <w:t xml:space="preserve"> is as follows:</w:t>
      </w:r>
    </w:p>
    <w:p w14:paraId="32F36308" w14:textId="77777777" w:rsidR="006650F5" w:rsidRDefault="006650F5" w:rsidP="00CE66A0">
      <w:pPr>
        <w:widowControl w:val="0"/>
        <w:autoSpaceDE w:val="0"/>
        <w:autoSpaceDN w:val="0"/>
        <w:adjustRightInd w:val="0"/>
        <w:rPr>
          <w:rFonts w:ascii="Helvetica" w:hAnsi="Helvetica" w:cs="Helvetica"/>
          <w:sz w:val="20"/>
          <w:szCs w:val="20"/>
        </w:rPr>
      </w:pPr>
    </w:p>
    <w:p w14:paraId="3E2B0A7D" w14:textId="3FEEC433" w:rsidR="006650F5"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urn:cts:ahcip:</w:t>
      </w:r>
      <w:r>
        <w:rPr>
          <w:rFonts w:ascii="Helvetica" w:hAnsi="Helvetica" w:cs="Helvetica"/>
          <w:b/>
          <w:sz w:val="20"/>
          <w:szCs w:val="20"/>
        </w:rPr>
        <w:t>CSWORK:CS</w:t>
      </w:r>
      <w:r w:rsidR="006747EC">
        <w:rPr>
          <w:rFonts w:ascii="Helvetica" w:hAnsi="Helvetica" w:cs="Helvetica"/>
          <w:b/>
          <w:sz w:val="20"/>
          <w:szCs w:val="20"/>
        </w:rPr>
        <w:t>SECTION</w:t>
      </w:r>
    </w:p>
    <w:p w14:paraId="143E3C6C" w14:textId="77777777" w:rsidR="006650F5" w:rsidRPr="006650F5" w:rsidRDefault="006650F5" w:rsidP="00CE66A0">
      <w:pPr>
        <w:widowControl w:val="0"/>
        <w:autoSpaceDE w:val="0"/>
        <w:autoSpaceDN w:val="0"/>
        <w:adjustRightInd w:val="0"/>
        <w:rPr>
          <w:rFonts w:ascii="Helvetica" w:hAnsi="Helvetica" w:cs="Helvetica"/>
          <w:sz w:val="20"/>
          <w:szCs w:val="20"/>
        </w:rPr>
      </w:pPr>
    </w:p>
    <w:p w14:paraId="32A0BB00" w14:textId="77777777" w:rsidR="00CE66A0"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W</w:t>
      </w:r>
      <w:r w:rsidR="00CE66A0" w:rsidRPr="00CE66A0">
        <w:rPr>
          <w:rFonts w:ascii="Helvetica" w:hAnsi="Helvetica" w:cs="Helvetica"/>
          <w:sz w:val="20"/>
          <w:szCs w:val="20"/>
        </w:rPr>
        <w:t xml:space="preserve">e are, essentially, creating CTS URNs in a namespace that will be named </w:t>
      </w:r>
      <w:r w:rsidR="00CE66A0" w:rsidRPr="00CE66A0">
        <w:rPr>
          <w:rFonts w:ascii="Helvetica" w:hAnsi="Helvetica" w:cs="Helvetica"/>
          <w:b/>
          <w:bCs/>
          <w:sz w:val="20"/>
          <w:szCs w:val="20"/>
        </w:rPr>
        <w:t>ahcip</w:t>
      </w:r>
      <w:r w:rsidR="00CF0AA7">
        <w:rPr>
          <w:rFonts w:ascii="Helvetica" w:hAnsi="Helvetica" w:cs="Helvetica"/>
          <w:sz w:val="20"/>
          <w:szCs w:val="20"/>
        </w:rPr>
        <w:t xml:space="preserve">. </w:t>
      </w:r>
      <w:r w:rsidR="00CE66A0" w:rsidRPr="00CE66A0">
        <w:rPr>
          <w:rFonts w:ascii="Helvetica" w:hAnsi="Helvetica" w:cs="Helvetica"/>
          <w:sz w:val="20"/>
          <w:szCs w:val="20"/>
        </w:rPr>
        <w:t xml:space="preserve">We do need to maintain a catalogue of what CTS URNs we create in the ahcip namespace, </w:t>
      </w:r>
      <w:r w:rsidR="00EA0C62">
        <w:rPr>
          <w:rFonts w:ascii="Helvetica" w:hAnsi="Helvetica" w:cs="Helvetica"/>
          <w:sz w:val="20"/>
          <w:szCs w:val="20"/>
        </w:rPr>
        <w:t xml:space="preserve">for when </w:t>
      </w:r>
      <w:r w:rsidR="00CF0AA7">
        <w:rPr>
          <w:rFonts w:ascii="Helvetica" w:hAnsi="Helvetica" w:cs="Helvetica"/>
          <w:sz w:val="20"/>
          <w:szCs w:val="20"/>
        </w:rPr>
        <w:t>we</w:t>
      </w:r>
      <w:r w:rsidR="00CE66A0" w:rsidRPr="00CE66A0">
        <w:rPr>
          <w:rFonts w:ascii="Helvetica" w:hAnsi="Helvetica" w:cs="Helvetica"/>
          <w:sz w:val="20"/>
          <w:szCs w:val="20"/>
        </w:rPr>
        <w:t xml:space="preserve"> stand up a proper CTS server that knows how to serve up </w:t>
      </w:r>
      <w:r w:rsidR="002E0100">
        <w:rPr>
          <w:rFonts w:ascii="Helvetica" w:hAnsi="Helvetica" w:cs="Helvetica"/>
          <w:sz w:val="20"/>
          <w:szCs w:val="20"/>
        </w:rPr>
        <w:t>the text in bite-size pieces of XML.  There will be a complete list with correct Human-readable names.</w:t>
      </w:r>
    </w:p>
    <w:p w14:paraId="5B32B894" w14:textId="77777777" w:rsidR="006650F5" w:rsidRDefault="006650F5" w:rsidP="00CE66A0">
      <w:pPr>
        <w:widowControl w:val="0"/>
        <w:autoSpaceDE w:val="0"/>
        <w:autoSpaceDN w:val="0"/>
        <w:adjustRightInd w:val="0"/>
        <w:rPr>
          <w:rFonts w:ascii="Helvetica" w:hAnsi="Helvetica" w:cs="Helvetica"/>
          <w:sz w:val="20"/>
          <w:szCs w:val="20"/>
        </w:rPr>
      </w:pPr>
    </w:p>
    <w:p w14:paraId="43DFEDD7" w14:textId="131AE1C5" w:rsidR="006650F5" w:rsidRDefault="006650F5" w:rsidP="00CE66A0">
      <w:pPr>
        <w:widowControl w:val="0"/>
        <w:autoSpaceDE w:val="0"/>
        <w:autoSpaceDN w:val="0"/>
        <w:adjustRightInd w:val="0"/>
        <w:rPr>
          <w:rFonts w:ascii="Helvetica" w:hAnsi="Helvetica" w:cs="Helvetica"/>
          <w:sz w:val="20"/>
          <w:szCs w:val="20"/>
        </w:rPr>
      </w:pPr>
      <w:r>
        <w:rPr>
          <w:rFonts w:ascii="Helvetica" w:hAnsi="Helvetica" w:cs="Helvetica"/>
          <w:b/>
          <w:sz w:val="20"/>
          <w:szCs w:val="20"/>
        </w:rPr>
        <w:t>CSWORK</w:t>
      </w:r>
      <w:r>
        <w:rPr>
          <w:rFonts w:ascii="Helvetica" w:hAnsi="Helvetica" w:cs="Helvetica"/>
          <w:sz w:val="20"/>
          <w:szCs w:val="20"/>
        </w:rPr>
        <w:t xml:space="preserve"> will come from a well-defined set of strings, such as </w:t>
      </w:r>
      <w:r w:rsidRPr="006650F5">
        <w:rPr>
          <w:rFonts w:ascii="Helvetica" w:hAnsi="Helvetica" w:cs="Helvetica"/>
          <w:sz w:val="20"/>
          <w:szCs w:val="20"/>
        </w:rPr>
        <w:t>GregoryNagy.HomerTheClassic</w:t>
      </w:r>
      <w:r>
        <w:rPr>
          <w:rFonts w:ascii="Helvetica" w:hAnsi="Helvetica" w:cs="Helvetica"/>
          <w:sz w:val="20"/>
          <w:szCs w:val="20"/>
        </w:rPr>
        <w:t xml:space="preserve"> for Greg's </w:t>
      </w:r>
      <w:r>
        <w:rPr>
          <w:rFonts w:ascii="Helvetica" w:hAnsi="Helvetica" w:cs="Helvetica"/>
          <w:i/>
          <w:sz w:val="20"/>
          <w:szCs w:val="20"/>
        </w:rPr>
        <w:t>Homer the Classic</w:t>
      </w:r>
      <w:r>
        <w:rPr>
          <w:rFonts w:ascii="Helvetica" w:hAnsi="Helvetica" w:cs="Helvetica"/>
          <w:sz w:val="20"/>
          <w:szCs w:val="20"/>
        </w:rPr>
        <w:t xml:space="preserve">, etc. </w:t>
      </w:r>
      <w:r w:rsidR="008719C1">
        <w:rPr>
          <w:rFonts w:ascii="Helvetica" w:hAnsi="Helvetica" w:cs="Helvetica"/>
          <w:sz w:val="20"/>
          <w:szCs w:val="20"/>
        </w:rPr>
        <w:t xml:space="preserve"> All values that are valid are in section "Works in AHCIP with URNS."</w:t>
      </w:r>
    </w:p>
    <w:p w14:paraId="00B4366A" w14:textId="556AC541" w:rsidR="00EA0C62" w:rsidRDefault="00EA0C62" w:rsidP="00CE66A0">
      <w:pPr>
        <w:widowControl w:val="0"/>
        <w:autoSpaceDE w:val="0"/>
        <w:autoSpaceDN w:val="0"/>
        <w:adjustRightInd w:val="0"/>
        <w:rPr>
          <w:rFonts w:ascii="Helvetica" w:hAnsi="Helvetica" w:cs="Helvetica"/>
          <w:sz w:val="20"/>
          <w:szCs w:val="20"/>
        </w:rPr>
      </w:pPr>
    </w:p>
    <w:p w14:paraId="1C9823CD" w14:textId="7C468702" w:rsidR="00EA0C62" w:rsidRDefault="00E93086" w:rsidP="00CE66A0">
      <w:pPr>
        <w:widowControl w:val="0"/>
        <w:autoSpaceDE w:val="0"/>
        <w:autoSpaceDN w:val="0"/>
        <w:adjustRightInd w:val="0"/>
        <w:rPr>
          <w:rFonts w:ascii="Helvetica" w:hAnsi="Helvetica" w:cs="Helvetica"/>
          <w:sz w:val="20"/>
          <w:szCs w:val="20"/>
        </w:rPr>
      </w:pPr>
      <w:r>
        <w:rPr>
          <w:rFonts w:ascii="Helvetica" w:hAnsi="Helvetica" w:cs="Helvetica"/>
          <w:b/>
          <w:sz w:val="20"/>
          <w:szCs w:val="20"/>
        </w:rPr>
        <w:t xml:space="preserve">CSSECTION </w:t>
      </w:r>
      <w:r w:rsidR="00EA0C62">
        <w:rPr>
          <w:rFonts w:ascii="Helvetica" w:hAnsi="Helvetica" w:cs="Helvetica"/>
          <w:sz w:val="20"/>
          <w:szCs w:val="20"/>
        </w:rPr>
        <w:t xml:space="preserve">format depends on what </w:t>
      </w:r>
      <w:r w:rsidR="00EA0C62">
        <w:rPr>
          <w:rFonts w:ascii="Helvetica" w:hAnsi="Helvetica" w:cs="Helvetica"/>
          <w:b/>
          <w:sz w:val="20"/>
          <w:szCs w:val="20"/>
        </w:rPr>
        <w:t>CSWORK</w:t>
      </w:r>
      <w:r w:rsidR="00D44F37">
        <w:rPr>
          <w:rFonts w:ascii="Helvetica" w:hAnsi="Helvetica" w:cs="Helvetica"/>
          <w:sz w:val="20"/>
          <w:szCs w:val="20"/>
        </w:rPr>
        <w:t xml:space="preserve"> is. The </w:t>
      </w:r>
      <w:r>
        <w:rPr>
          <w:rFonts w:ascii="Helvetica" w:hAnsi="Helvetica" w:cs="Helvetica"/>
          <w:sz w:val="20"/>
          <w:szCs w:val="20"/>
        </w:rPr>
        <w:t>section</w:t>
      </w:r>
      <w:r w:rsidR="00D44F37">
        <w:rPr>
          <w:rFonts w:ascii="Helvetica" w:hAnsi="Helvetica" w:cs="Helvetica"/>
          <w:sz w:val="20"/>
          <w:szCs w:val="20"/>
        </w:rPr>
        <w:t xml:space="preserve"> reference depends on what type of work and how it is structured</w:t>
      </w:r>
      <w:r>
        <w:rPr>
          <w:rFonts w:ascii="Helvetica" w:hAnsi="Helvetica" w:cs="Helvetica"/>
          <w:sz w:val="20"/>
          <w:szCs w:val="20"/>
        </w:rPr>
        <w:t xml:space="preserve"> and how we plan to model it in the system ore represent that structure in the URN</w:t>
      </w:r>
      <w:r w:rsidR="00D44F37">
        <w:rPr>
          <w:rFonts w:ascii="Helvetica" w:hAnsi="Helvetica" w:cs="Helvetica"/>
          <w:sz w:val="20"/>
          <w:szCs w:val="20"/>
        </w:rPr>
        <w:t>.</w:t>
      </w:r>
      <w:r w:rsidR="008719C1">
        <w:rPr>
          <w:rFonts w:ascii="Helvetica" w:hAnsi="Helvetica" w:cs="Helvetica"/>
          <w:sz w:val="20"/>
          <w:szCs w:val="20"/>
        </w:rPr>
        <w:t xml:space="preserve"> We have chosen to use an encoding format that explicitly tags the name of the structural elements as well as the actual </w:t>
      </w:r>
      <w:r w:rsidR="007F4E5B">
        <w:rPr>
          <w:rFonts w:ascii="Helvetica" w:hAnsi="Helvetica" w:cs="Helvetica"/>
          <w:sz w:val="20"/>
          <w:szCs w:val="20"/>
        </w:rPr>
        <w:t>name of the element this part of the URN refers to. The abbreviation for the name of the element will be separated from the element value by the underscore (U+005F) character.</w:t>
      </w:r>
    </w:p>
    <w:p w14:paraId="2031CA74" w14:textId="77777777" w:rsidR="007F4E5B" w:rsidRDefault="007F4E5B" w:rsidP="00CE66A0">
      <w:pPr>
        <w:widowControl w:val="0"/>
        <w:autoSpaceDE w:val="0"/>
        <w:autoSpaceDN w:val="0"/>
        <w:adjustRightInd w:val="0"/>
        <w:rPr>
          <w:rFonts w:ascii="Helvetica" w:hAnsi="Helvetica" w:cs="Helvetica"/>
          <w:sz w:val="20"/>
          <w:szCs w:val="20"/>
        </w:rPr>
      </w:pPr>
    </w:p>
    <w:p w14:paraId="2BEB1441" w14:textId="5122DBAA" w:rsidR="007F4E5B" w:rsidRDefault="007F4E5B"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The following table of </w:t>
      </w:r>
      <w:r w:rsidR="00E93086">
        <w:rPr>
          <w:rFonts w:ascii="Helvetica" w:hAnsi="Helvetica" w:cs="Helvetica"/>
          <w:sz w:val="20"/>
          <w:szCs w:val="20"/>
        </w:rPr>
        <w:t xml:space="preserve">structural </w:t>
      </w:r>
      <w:r>
        <w:rPr>
          <w:rFonts w:ascii="Helvetica" w:hAnsi="Helvetica" w:cs="Helvetica"/>
          <w:sz w:val="20"/>
          <w:szCs w:val="20"/>
        </w:rPr>
        <w:t>element tags will be used</w:t>
      </w:r>
      <w:r w:rsidR="00E93086">
        <w:rPr>
          <w:rFonts w:ascii="Helvetica" w:hAnsi="Helvetica" w:cs="Helvetica"/>
          <w:sz w:val="20"/>
          <w:szCs w:val="20"/>
        </w:rPr>
        <w:t xml:space="preserve"> inside the </w:t>
      </w:r>
      <w:r w:rsidR="00E93086">
        <w:rPr>
          <w:rFonts w:ascii="Helvetica" w:hAnsi="Helvetica" w:cs="Helvetica"/>
          <w:b/>
          <w:sz w:val="20"/>
          <w:szCs w:val="20"/>
        </w:rPr>
        <w:t>CSSECTION</w:t>
      </w:r>
      <w:r w:rsidR="00E93086">
        <w:rPr>
          <w:rFonts w:ascii="Helvetica" w:hAnsi="Helvetica" w:cs="Helvetica"/>
          <w:sz w:val="20"/>
          <w:szCs w:val="20"/>
        </w:rPr>
        <w:t xml:space="preserve"> of AHCIP URNs</w:t>
      </w:r>
      <w:r>
        <w:rPr>
          <w:rFonts w:ascii="Helvetica" w:hAnsi="Helvetica" w:cs="Helvetica"/>
          <w:sz w:val="20"/>
          <w:szCs w:val="20"/>
        </w:rPr>
        <w:t>. Additional tags may be added as needed:</w:t>
      </w:r>
    </w:p>
    <w:p w14:paraId="060C6460" w14:textId="77777777" w:rsidR="007F4E5B" w:rsidRDefault="007F4E5B" w:rsidP="00CE66A0">
      <w:pPr>
        <w:widowControl w:val="0"/>
        <w:autoSpaceDE w:val="0"/>
        <w:autoSpaceDN w:val="0"/>
        <w:adjustRightInd w:val="0"/>
        <w:rPr>
          <w:rFonts w:ascii="Helvetica" w:hAnsi="Helvetica" w:cs="Helvetica"/>
          <w:sz w:val="20"/>
          <w:szCs w:val="20"/>
        </w:rPr>
      </w:pPr>
    </w:p>
    <w:p w14:paraId="49568B36" w14:textId="77777777" w:rsidR="007F4E5B" w:rsidRPr="00D44F37" w:rsidRDefault="007F4E5B" w:rsidP="00CE66A0">
      <w:pPr>
        <w:widowControl w:val="0"/>
        <w:autoSpaceDE w:val="0"/>
        <w:autoSpaceDN w:val="0"/>
        <w:adjustRightInd w:val="0"/>
        <w:rPr>
          <w:rFonts w:ascii="Helvetica" w:hAnsi="Helvetica" w:cs="Helvetica"/>
          <w:b/>
          <w:sz w:val="20"/>
          <w:szCs w:val="20"/>
        </w:rPr>
      </w:pPr>
    </w:p>
    <w:tbl>
      <w:tblPr>
        <w:tblStyle w:val="TableGrid"/>
        <w:tblW w:w="0" w:type="auto"/>
        <w:tblLook w:val="04A0" w:firstRow="1" w:lastRow="0" w:firstColumn="1" w:lastColumn="0" w:noHBand="0" w:noVBand="1"/>
      </w:tblPr>
      <w:tblGrid>
        <w:gridCol w:w="828"/>
        <w:gridCol w:w="2790"/>
      </w:tblGrid>
      <w:tr w:rsidR="006238CD" w14:paraId="5C62101F" w14:textId="77777777" w:rsidTr="00A0252E">
        <w:tc>
          <w:tcPr>
            <w:tcW w:w="828" w:type="dxa"/>
          </w:tcPr>
          <w:p w14:paraId="417E3E33" w14:textId="39116FD8" w:rsidR="006238CD" w:rsidRDefault="006238CD"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c</w:t>
            </w:r>
          </w:p>
        </w:tc>
        <w:tc>
          <w:tcPr>
            <w:tcW w:w="2790" w:type="dxa"/>
          </w:tcPr>
          <w:p w14:paraId="2324F89B" w14:textId="6CFC9199" w:rsidR="006238CD" w:rsidRDefault="006238CD"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Chapter</w:t>
            </w:r>
          </w:p>
        </w:tc>
      </w:tr>
      <w:tr w:rsidR="00A0252E" w14:paraId="237E6F1B" w14:textId="77777777" w:rsidTr="00A0252E">
        <w:tc>
          <w:tcPr>
            <w:tcW w:w="828" w:type="dxa"/>
          </w:tcPr>
          <w:p w14:paraId="7159CFCA" w14:textId="103770AD"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s</w:t>
            </w:r>
          </w:p>
        </w:tc>
        <w:tc>
          <w:tcPr>
            <w:tcW w:w="2790" w:type="dxa"/>
          </w:tcPr>
          <w:p w14:paraId="1D85724B" w14:textId="39EA4396"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Section</w:t>
            </w:r>
          </w:p>
        </w:tc>
      </w:tr>
      <w:tr w:rsidR="00A0252E" w14:paraId="3215C05E" w14:textId="77777777" w:rsidTr="00A0252E">
        <w:tc>
          <w:tcPr>
            <w:tcW w:w="828" w:type="dxa"/>
          </w:tcPr>
          <w:p w14:paraId="447919B4" w14:textId="6B2FA7CF"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n</w:t>
            </w:r>
          </w:p>
        </w:tc>
        <w:tc>
          <w:tcPr>
            <w:tcW w:w="2790" w:type="dxa"/>
          </w:tcPr>
          <w:p w14:paraId="74DBDF63" w14:textId="1E4593A2"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Note</w:t>
            </w:r>
          </w:p>
        </w:tc>
      </w:tr>
      <w:tr w:rsidR="00A0252E" w14:paraId="21095E54" w14:textId="77777777" w:rsidTr="00A0252E">
        <w:tc>
          <w:tcPr>
            <w:tcW w:w="828" w:type="dxa"/>
          </w:tcPr>
          <w:p w14:paraId="0781A31B" w14:textId="6E3D62D3"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t</w:t>
            </w:r>
          </w:p>
        </w:tc>
        <w:tc>
          <w:tcPr>
            <w:tcW w:w="2790" w:type="dxa"/>
          </w:tcPr>
          <w:p w14:paraId="135AE4D4" w14:textId="4405229A" w:rsidR="007F4E5B" w:rsidRDefault="00A0252E"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Translation</w:t>
            </w:r>
          </w:p>
        </w:tc>
      </w:tr>
    </w:tbl>
    <w:p w14:paraId="140D41CB" w14:textId="77777777" w:rsidR="00A0252E" w:rsidRDefault="00A0252E" w:rsidP="00CE66A0">
      <w:pPr>
        <w:widowControl w:val="0"/>
        <w:autoSpaceDE w:val="0"/>
        <w:autoSpaceDN w:val="0"/>
        <w:adjustRightInd w:val="0"/>
        <w:rPr>
          <w:rFonts w:ascii="Helvetica" w:hAnsi="Helvetica" w:cs="Helvetica"/>
          <w:sz w:val="20"/>
          <w:szCs w:val="20"/>
        </w:rPr>
      </w:pPr>
    </w:p>
    <w:p w14:paraId="5BA1C609" w14:textId="4108B408" w:rsidR="00A0252E" w:rsidRDefault="006238CD"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The value for each element</w:t>
      </w:r>
      <w:r w:rsidR="00A0252E">
        <w:rPr>
          <w:rFonts w:ascii="Helvetica" w:hAnsi="Helvetica" w:cs="Helvetica"/>
          <w:sz w:val="20"/>
          <w:szCs w:val="20"/>
        </w:rPr>
        <w:t xml:space="preserve"> be numerical, or symbolic.  For example, </w:t>
      </w:r>
      <w:r w:rsidR="00A0252E">
        <w:rPr>
          <w:rFonts w:ascii="Helvetica" w:hAnsi="Helvetica" w:cs="Helvetica"/>
          <w:i/>
          <w:sz w:val="20"/>
          <w:szCs w:val="20"/>
        </w:rPr>
        <w:t>Homer the Classic</w:t>
      </w:r>
      <w:r>
        <w:rPr>
          <w:rFonts w:ascii="Helvetica" w:hAnsi="Helvetica" w:cs="Helvetica"/>
          <w:sz w:val="20"/>
          <w:szCs w:val="20"/>
        </w:rPr>
        <w:t xml:space="preserve"> (HC), comprises structurally the following "chapters:" Preface, Prolegomena, Chapter 1, Chapter 2, Chapter 3, Chapter 4, Conclusions and Bibliography. In order to keep URNs a manageable size, we will use a three-character abbreviation for each chapter type. So, the following URNs can be used to retrieve the chapters of HC:</w:t>
      </w:r>
    </w:p>
    <w:p w14:paraId="0284F070" w14:textId="77777777" w:rsidR="006238CD" w:rsidRDefault="006238CD" w:rsidP="00CE66A0">
      <w:pPr>
        <w:widowControl w:val="0"/>
        <w:autoSpaceDE w:val="0"/>
        <w:autoSpaceDN w:val="0"/>
        <w:adjustRightInd w:val="0"/>
        <w:rPr>
          <w:rFonts w:ascii="Helvetica" w:hAnsi="Helvetica" w:cs="Helvetica"/>
          <w:sz w:val="20"/>
          <w:szCs w:val="20"/>
        </w:rPr>
      </w:pPr>
    </w:p>
    <w:p w14:paraId="05EF6B5B" w14:textId="542D444E" w:rsidR="006238CD"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urn:cts:ahcip:Gr</w:t>
      </w:r>
      <w:r w:rsidR="00C92A5C">
        <w:rPr>
          <w:rFonts w:ascii="Helvetica" w:hAnsi="Helvetica" w:cs="Helvetica"/>
          <w:sz w:val="20"/>
          <w:szCs w:val="20"/>
        </w:rPr>
        <w:t>egoryNagy.HomerTheClassic:c_Pre</w:t>
      </w:r>
    </w:p>
    <w:p w14:paraId="580C6CB9" w14:textId="30D06479"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urn:cts:ahcip:Gr</w:t>
      </w:r>
      <w:r w:rsidR="00C92A5C">
        <w:rPr>
          <w:rFonts w:ascii="Helvetica" w:hAnsi="Helvetica" w:cs="Helvetica"/>
          <w:sz w:val="20"/>
          <w:szCs w:val="20"/>
        </w:rPr>
        <w:t>egoryNagy.HomerTheClassic:c_Pro</w:t>
      </w:r>
    </w:p>
    <w:p w14:paraId="6CD81C08" w14:textId="3BB81754"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urn:cts:ahcip:GregoryNagy.HomerTheClassic:</w:t>
      </w:r>
      <w:r w:rsidR="00C92A5C">
        <w:rPr>
          <w:rFonts w:ascii="Helvetica" w:hAnsi="Helvetica" w:cs="Helvetica"/>
          <w:sz w:val="20"/>
          <w:szCs w:val="20"/>
        </w:rPr>
        <w:t>c_1</w:t>
      </w:r>
    </w:p>
    <w:p w14:paraId="6C379F9E" w14:textId="2A213BEB"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w:t>
      </w:r>
      <w:r w:rsidR="00C92A5C">
        <w:rPr>
          <w:rFonts w:ascii="Helvetica" w:hAnsi="Helvetica" w:cs="Helvetica"/>
          <w:sz w:val="20"/>
          <w:szCs w:val="20"/>
        </w:rPr>
        <w:t>GregoryNagy.HomerTheClassic:c_2</w:t>
      </w:r>
    </w:p>
    <w:p w14:paraId="0D4B6E49" w14:textId="3790CE5E"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w:t>
      </w:r>
      <w:r w:rsidR="00C92A5C">
        <w:rPr>
          <w:rFonts w:ascii="Helvetica" w:hAnsi="Helvetica" w:cs="Helvetica"/>
          <w:sz w:val="20"/>
          <w:szCs w:val="20"/>
        </w:rPr>
        <w:t>GregoryNagy.HomerTheClassic:c_3</w:t>
      </w:r>
    </w:p>
    <w:p w14:paraId="291CA9C8" w14:textId="24B5F6A4"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w:t>
      </w:r>
      <w:r w:rsidR="00C92A5C">
        <w:rPr>
          <w:rFonts w:ascii="Helvetica" w:hAnsi="Helvetica" w:cs="Helvetica"/>
          <w:sz w:val="20"/>
          <w:szCs w:val="20"/>
        </w:rPr>
        <w:t>GregoryNagy.HomerTheClassic:c_4</w:t>
      </w:r>
    </w:p>
    <w:p w14:paraId="5AC9C432" w14:textId="7A746BEF" w:rsid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urn:cts:ahcip:Gr</w:t>
      </w:r>
      <w:r w:rsidR="00C92A5C">
        <w:rPr>
          <w:rFonts w:ascii="Helvetica" w:hAnsi="Helvetica" w:cs="Helvetica"/>
          <w:sz w:val="20"/>
          <w:szCs w:val="20"/>
        </w:rPr>
        <w:t>egoryNagy.HomerTheClassic:c_Con</w:t>
      </w:r>
    </w:p>
    <w:p w14:paraId="3D869B4E" w14:textId="53C56D0C" w:rsidR="00F51E36" w:rsidRPr="00F51E36" w:rsidRDefault="00F51E36" w:rsidP="00F51E36">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urn:cts:ahcip:Gr</w:t>
      </w:r>
      <w:r w:rsidR="00C92A5C">
        <w:rPr>
          <w:rFonts w:ascii="Helvetica" w:hAnsi="Helvetica" w:cs="Helvetica"/>
          <w:sz w:val="20"/>
          <w:szCs w:val="20"/>
        </w:rPr>
        <w:t>egoryNagy.HomerTheClassic:c_Bib</w:t>
      </w:r>
    </w:p>
    <w:p w14:paraId="13A23828" w14:textId="77777777" w:rsidR="006650F5" w:rsidRDefault="006650F5" w:rsidP="00CE66A0">
      <w:pPr>
        <w:widowControl w:val="0"/>
        <w:autoSpaceDE w:val="0"/>
        <w:autoSpaceDN w:val="0"/>
        <w:adjustRightInd w:val="0"/>
        <w:rPr>
          <w:rFonts w:ascii="Helvetica" w:hAnsi="Helvetica" w:cs="Helvetica"/>
          <w:sz w:val="20"/>
          <w:szCs w:val="20"/>
        </w:rPr>
      </w:pPr>
    </w:p>
    <w:p w14:paraId="5BE1830E" w14:textId="102061A7" w:rsidR="00AF5B2A" w:rsidRDefault="00AF5B2A"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The values of other subsection identifiers are usually numeric (they don't have to be).</w:t>
      </w:r>
    </w:p>
    <w:p w14:paraId="454F054E" w14:textId="77777777" w:rsidR="00FE027D" w:rsidRDefault="00FE027D" w:rsidP="00CE66A0">
      <w:pPr>
        <w:widowControl w:val="0"/>
        <w:autoSpaceDE w:val="0"/>
        <w:autoSpaceDN w:val="0"/>
        <w:adjustRightInd w:val="0"/>
        <w:rPr>
          <w:rFonts w:ascii="Helvetica" w:hAnsi="Helvetica" w:cs="Helvetica"/>
          <w:sz w:val="20"/>
          <w:szCs w:val="20"/>
        </w:rPr>
      </w:pPr>
    </w:p>
    <w:p w14:paraId="756D9862" w14:textId="40A32DA5" w:rsidR="00AF5B2A" w:rsidRDefault="00AF5B2A"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 xml:space="preserve">In the case where a note was indicated in the SF document, but no note number was provided, </w:t>
      </w:r>
      <w:r w:rsidR="00FE027D">
        <w:rPr>
          <w:rFonts w:ascii="Helvetica" w:hAnsi="Helvetica" w:cs="Helvetica"/>
          <w:sz w:val="20"/>
          <w:szCs w:val="20"/>
        </w:rPr>
        <w:t>the MRBTP will use a value of 0 to act as a sentinel that the reference was to the note, associated with that section or translation.  Some examples:</w:t>
      </w:r>
    </w:p>
    <w:p w14:paraId="14E21743" w14:textId="77777777" w:rsidR="00FE027D" w:rsidRDefault="00FE027D" w:rsidP="00CE66A0">
      <w:pPr>
        <w:widowControl w:val="0"/>
        <w:autoSpaceDE w:val="0"/>
        <w:autoSpaceDN w:val="0"/>
        <w:adjustRightInd w:val="0"/>
        <w:rPr>
          <w:rFonts w:ascii="Helvetica" w:hAnsi="Helvetica" w:cs="Helvetica"/>
          <w:sz w:val="20"/>
          <w:szCs w:val="20"/>
        </w:rPr>
      </w:pPr>
    </w:p>
    <w:p w14:paraId="2BB4B343" w14:textId="19492A38" w:rsidR="00FE027D" w:rsidRDefault="00FE027D" w:rsidP="00FE027D">
      <w:pPr>
        <w:pStyle w:val="ListParagraph"/>
        <w:widowControl w:val="0"/>
        <w:numPr>
          <w:ilvl w:val="0"/>
          <w:numId w:val="5"/>
        </w:numPr>
        <w:autoSpaceDE w:val="0"/>
        <w:autoSpaceDN w:val="0"/>
        <w:adjustRightInd w:val="0"/>
        <w:rPr>
          <w:rFonts w:ascii="Helvetica" w:hAnsi="Helvetica" w:cs="Helvetica"/>
          <w:sz w:val="20"/>
          <w:szCs w:val="20"/>
        </w:rPr>
      </w:pPr>
      <w:r>
        <w:rPr>
          <w:rFonts w:ascii="Helvetica" w:hAnsi="Helvetica" w:cs="Helvetica"/>
          <w:sz w:val="20"/>
          <w:szCs w:val="20"/>
        </w:rPr>
        <w:t>urn:cts:ahcip:GregoryNagy.HomerTheClassic:c_2.s_344.n_0</w:t>
      </w:r>
      <w:r>
        <w:rPr>
          <w:rFonts w:ascii="Helvetica" w:hAnsi="Helvetica" w:cs="Helvetica"/>
          <w:sz w:val="20"/>
          <w:szCs w:val="20"/>
        </w:rPr>
        <w:tab/>
      </w:r>
      <w:r w:rsidR="005143CA">
        <w:rPr>
          <w:rFonts w:ascii="Helvetica" w:hAnsi="Helvetica" w:cs="Helvetica"/>
          <w:sz w:val="20"/>
          <w:szCs w:val="20"/>
        </w:rPr>
        <w:tab/>
      </w:r>
      <w:r>
        <w:rPr>
          <w:rFonts w:ascii="Helvetica" w:hAnsi="Helvetica" w:cs="Helvetica"/>
          <w:sz w:val="20"/>
          <w:szCs w:val="20"/>
        </w:rPr>
        <w:t>= A note (or "the" note) to Section 344 in Chapter 2 of HC</w:t>
      </w:r>
    </w:p>
    <w:p w14:paraId="44B90E1D" w14:textId="0662D9C6" w:rsidR="006747EC" w:rsidRDefault="00FE027D" w:rsidP="006747EC">
      <w:pPr>
        <w:pStyle w:val="ListParagraph"/>
        <w:widowControl w:val="0"/>
        <w:numPr>
          <w:ilvl w:val="0"/>
          <w:numId w:val="5"/>
        </w:numPr>
        <w:autoSpaceDE w:val="0"/>
        <w:autoSpaceDN w:val="0"/>
        <w:adjustRightInd w:val="0"/>
        <w:jc w:val="both"/>
        <w:rPr>
          <w:rFonts w:ascii="Helvetica" w:hAnsi="Helvetica" w:cs="Helvetica"/>
          <w:sz w:val="20"/>
          <w:szCs w:val="20"/>
        </w:rPr>
      </w:pPr>
      <w:r>
        <w:rPr>
          <w:rFonts w:ascii="Helvetica" w:hAnsi="Helvetica" w:cs="Helvetica"/>
          <w:sz w:val="20"/>
          <w:szCs w:val="20"/>
        </w:rPr>
        <w:t>urn:cts:ahcip:GregoryNagy.HomerTheClassic:c_</w:t>
      </w:r>
      <w:r w:rsidR="006747EC">
        <w:rPr>
          <w:rFonts w:ascii="Helvetica" w:hAnsi="Helvetica" w:cs="Helvetica"/>
          <w:sz w:val="20"/>
          <w:szCs w:val="20"/>
        </w:rPr>
        <w:t>Pro.s_127.t_8</w:t>
      </w:r>
      <w:r w:rsidR="006747EC">
        <w:rPr>
          <w:rFonts w:ascii="Helvetica" w:hAnsi="Helvetica" w:cs="Helvetica"/>
          <w:sz w:val="20"/>
          <w:szCs w:val="20"/>
        </w:rPr>
        <w:tab/>
      </w:r>
      <w:r w:rsidR="005143CA">
        <w:rPr>
          <w:rFonts w:ascii="Helvetica" w:hAnsi="Helvetica" w:cs="Helvetica"/>
          <w:sz w:val="20"/>
          <w:szCs w:val="20"/>
        </w:rPr>
        <w:tab/>
      </w:r>
      <w:r w:rsidR="006747EC">
        <w:rPr>
          <w:rFonts w:ascii="Helvetica" w:hAnsi="Helvetica" w:cs="Helvetica"/>
          <w:sz w:val="20"/>
          <w:szCs w:val="20"/>
        </w:rPr>
        <w:t>= Translation 8 in Section 127 in the Prolegomena of HC</w:t>
      </w:r>
    </w:p>
    <w:p w14:paraId="24117FBB" w14:textId="0E4CD431" w:rsidR="006747EC" w:rsidRDefault="00E93086" w:rsidP="006747EC">
      <w:pPr>
        <w:pStyle w:val="ListParagraph"/>
        <w:widowControl w:val="0"/>
        <w:numPr>
          <w:ilvl w:val="0"/>
          <w:numId w:val="5"/>
        </w:numPr>
        <w:autoSpaceDE w:val="0"/>
        <w:autoSpaceDN w:val="0"/>
        <w:adjustRightInd w:val="0"/>
        <w:jc w:val="both"/>
        <w:rPr>
          <w:rFonts w:ascii="Helvetica" w:hAnsi="Helvetica" w:cs="Helvetica"/>
          <w:sz w:val="20"/>
          <w:szCs w:val="20"/>
        </w:rPr>
      </w:pPr>
      <w:r>
        <w:rPr>
          <w:rFonts w:ascii="Helvetica" w:hAnsi="Helvetica" w:cs="Helvetica"/>
          <w:sz w:val="20"/>
          <w:szCs w:val="20"/>
        </w:rPr>
        <w:t>urn:cts:ahcip:GregoryNagy.HomerTheClassic:c_2.</w:t>
      </w:r>
      <w:r w:rsidR="005143CA">
        <w:rPr>
          <w:rFonts w:ascii="Helvetica" w:hAnsi="Helvetica" w:cs="Helvetica"/>
          <w:sz w:val="20"/>
          <w:szCs w:val="20"/>
        </w:rPr>
        <w:t>s_235.t_76.n_0</w:t>
      </w:r>
      <w:r w:rsidR="005143CA">
        <w:rPr>
          <w:rFonts w:ascii="Helvetica" w:hAnsi="Helvetica" w:cs="Helvetica"/>
          <w:sz w:val="20"/>
          <w:szCs w:val="20"/>
        </w:rPr>
        <w:tab/>
        <w:t>= A note to Translation 76 in Section 235 of Chapter 2 of HC</w:t>
      </w:r>
    </w:p>
    <w:p w14:paraId="59939876" w14:textId="49011214" w:rsidR="005143CA" w:rsidRDefault="005143CA" w:rsidP="006747EC">
      <w:pPr>
        <w:pStyle w:val="ListParagraph"/>
        <w:widowControl w:val="0"/>
        <w:numPr>
          <w:ilvl w:val="0"/>
          <w:numId w:val="5"/>
        </w:numPr>
        <w:autoSpaceDE w:val="0"/>
        <w:autoSpaceDN w:val="0"/>
        <w:adjustRightInd w:val="0"/>
        <w:jc w:val="both"/>
        <w:rPr>
          <w:rFonts w:ascii="Helvetica" w:hAnsi="Helvetica" w:cs="Helvetica"/>
          <w:sz w:val="20"/>
          <w:szCs w:val="20"/>
        </w:rPr>
      </w:pPr>
      <w:r>
        <w:rPr>
          <w:rFonts w:ascii="Helvetica" w:hAnsi="Helvetica" w:cs="Helvetica"/>
          <w:sz w:val="20"/>
          <w:szCs w:val="20"/>
        </w:rPr>
        <w:t>urn:cts:ahcip:GregoryNagy.HomerTheClassic</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 </w:t>
      </w:r>
      <w:r w:rsidRPr="005143CA">
        <w:rPr>
          <w:rFonts w:ascii="Helvetica" w:hAnsi="Helvetica" w:cs="Helvetica"/>
          <w:i/>
          <w:sz w:val="20"/>
          <w:szCs w:val="20"/>
        </w:rPr>
        <w:t>Homer the Classic</w:t>
      </w:r>
      <w:r>
        <w:rPr>
          <w:rFonts w:ascii="Helvetica" w:hAnsi="Helvetica" w:cs="Helvetica"/>
          <w:sz w:val="20"/>
          <w:szCs w:val="20"/>
        </w:rPr>
        <w:t xml:space="preserve"> (in it's entirety)</w:t>
      </w:r>
    </w:p>
    <w:p w14:paraId="6FD13C3E" w14:textId="21534F97" w:rsidR="005143CA" w:rsidRDefault="005143CA" w:rsidP="006747EC">
      <w:pPr>
        <w:pStyle w:val="ListParagraph"/>
        <w:widowControl w:val="0"/>
        <w:numPr>
          <w:ilvl w:val="0"/>
          <w:numId w:val="5"/>
        </w:numPr>
        <w:autoSpaceDE w:val="0"/>
        <w:autoSpaceDN w:val="0"/>
        <w:adjustRightInd w:val="0"/>
        <w:jc w:val="both"/>
        <w:rPr>
          <w:rFonts w:ascii="Helvetica" w:hAnsi="Helvetica" w:cs="Helvetica"/>
          <w:sz w:val="20"/>
          <w:szCs w:val="20"/>
        </w:rPr>
      </w:pPr>
      <w:r>
        <w:rPr>
          <w:rFonts w:ascii="Helvetica" w:hAnsi="Helvetica" w:cs="Helvetica"/>
          <w:sz w:val="20"/>
          <w:szCs w:val="20"/>
        </w:rPr>
        <w:t>urn:cts:ahcip:GregoryNagy.HomerTheClassic:c_Con</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 Entire Conclusion of </w:t>
      </w:r>
      <w:r>
        <w:rPr>
          <w:rFonts w:ascii="Helvetica" w:hAnsi="Helvetica" w:cs="Helvetica"/>
          <w:i/>
          <w:sz w:val="20"/>
          <w:szCs w:val="20"/>
        </w:rPr>
        <w:t>Homer the Classic</w:t>
      </w:r>
    </w:p>
    <w:p w14:paraId="142104DD" w14:textId="77777777" w:rsidR="005143CA" w:rsidRPr="005143CA" w:rsidRDefault="005143CA" w:rsidP="005143CA">
      <w:pPr>
        <w:widowControl w:val="0"/>
        <w:autoSpaceDE w:val="0"/>
        <w:autoSpaceDN w:val="0"/>
        <w:adjustRightInd w:val="0"/>
        <w:jc w:val="both"/>
        <w:rPr>
          <w:rFonts w:ascii="Helvetica" w:hAnsi="Helvetica" w:cs="Helvetica"/>
          <w:sz w:val="20"/>
          <w:szCs w:val="20"/>
        </w:rPr>
      </w:pPr>
    </w:p>
    <w:p w14:paraId="11B158B4" w14:textId="4FB00831" w:rsidR="00CE66A0" w:rsidRPr="00CE66A0" w:rsidRDefault="00E93086" w:rsidP="005143CA">
      <w:pPr>
        <w:widowControl w:val="0"/>
        <w:autoSpaceDE w:val="0"/>
        <w:autoSpaceDN w:val="0"/>
        <w:adjustRightInd w:val="0"/>
        <w:jc w:val="both"/>
        <w:rPr>
          <w:rFonts w:ascii="Helvetica" w:hAnsi="Helvetica" w:cs="Helvetica"/>
          <w:sz w:val="20"/>
          <w:szCs w:val="20"/>
        </w:rPr>
      </w:pPr>
      <w:r>
        <w:rPr>
          <w:rFonts w:ascii="Helvetica" w:hAnsi="Helvetica" w:cs="Helvetica"/>
          <w:sz w:val="20"/>
          <w:szCs w:val="20"/>
        </w:rPr>
        <w:t xml:space="preserve">No specific structural element tag is required. Whether the URN represents a meaningful reference to a section in the work depends on how the URNs are created. To refer to an entire work, leave off the </w:t>
      </w:r>
      <w:r>
        <w:rPr>
          <w:rFonts w:ascii="Helvetica" w:hAnsi="Helvetica" w:cs="Helvetica"/>
          <w:b/>
          <w:sz w:val="20"/>
          <w:szCs w:val="20"/>
        </w:rPr>
        <w:t xml:space="preserve">CSSECTION </w:t>
      </w:r>
      <w:r>
        <w:rPr>
          <w:rFonts w:ascii="Helvetica" w:hAnsi="Helvetica" w:cs="Helvetica"/>
          <w:sz w:val="20"/>
          <w:szCs w:val="20"/>
        </w:rPr>
        <w:t xml:space="preserve">and the colon after </w:t>
      </w:r>
      <w:r>
        <w:rPr>
          <w:rFonts w:ascii="Helvetica" w:hAnsi="Helvetica" w:cs="Helvetica"/>
          <w:b/>
          <w:sz w:val="20"/>
          <w:szCs w:val="20"/>
        </w:rPr>
        <w:t>CSWORK</w:t>
      </w:r>
    </w:p>
    <w:p w14:paraId="5BA4A8B0" w14:textId="77777777" w:rsidR="00CE66A0" w:rsidRPr="00CE66A0" w:rsidRDefault="00CE66A0" w:rsidP="00CE66A0">
      <w:pPr>
        <w:widowControl w:val="0"/>
        <w:autoSpaceDE w:val="0"/>
        <w:autoSpaceDN w:val="0"/>
        <w:adjustRightInd w:val="0"/>
        <w:rPr>
          <w:rFonts w:ascii="Helvetica" w:hAnsi="Helvetica" w:cs="Helvetica"/>
          <w:sz w:val="20"/>
          <w:szCs w:val="20"/>
        </w:rPr>
      </w:pPr>
      <w:bookmarkStart w:id="0" w:name="_GoBack"/>
      <w:bookmarkEnd w:id="0"/>
    </w:p>
    <w:p w14:paraId="1343D3E9" w14:textId="4A9F1913" w:rsidR="0046091E" w:rsidRDefault="0046091E" w:rsidP="002B6C2D">
      <w:pPr>
        <w:pStyle w:val="Heading1"/>
      </w:pPr>
      <w:r>
        <w:t>Works in AHCIP</w:t>
      </w:r>
      <w:r w:rsidR="00E13CA8">
        <w:t xml:space="preserve"> with URNs</w:t>
      </w:r>
    </w:p>
    <w:p w14:paraId="48539C47" w14:textId="77777777" w:rsidR="00E13CA8" w:rsidRDefault="00E13CA8" w:rsidP="00E13CA8"/>
    <w:tbl>
      <w:tblPr>
        <w:tblStyle w:val="TableGrid"/>
        <w:tblW w:w="0" w:type="auto"/>
        <w:tblLayout w:type="fixed"/>
        <w:tblLook w:val="04A0" w:firstRow="1" w:lastRow="0" w:firstColumn="1" w:lastColumn="0" w:noHBand="0" w:noVBand="1"/>
      </w:tblPr>
      <w:tblGrid>
        <w:gridCol w:w="1008"/>
        <w:gridCol w:w="5940"/>
        <w:gridCol w:w="2160"/>
        <w:gridCol w:w="3870"/>
      </w:tblGrid>
      <w:tr w:rsidR="00517F73" w14:paraId="25E25965" w14:textId="3DDC25F4" w:rsidTr="00860C1D">
        <w:tc>
          <w:tcPr>
            <w:tcW w:w="1008" w:type="dxa"/>
          </w:tcPr>
          <w:p w14:paraId="1B91AA9C" w14:textId="45A42421" w:rsidR="00517F73" w:rsidRPr="00517F73" w:rsidRDefault="00517F73" w:rsidP="00E13CA8">
            <w:pPr>
              <w:rPr>
                <w:b/>
              </w:rPr>
            </w:pPr>
            <w:r w:rsidRPr="00517F73">
              <w:rPr>
                <w:b/>
              </w:rPr>
              <w:t>Abbreviation</w:t>
            </w:r>
          </w:p>
        </w:tc>
        <w:tc>
          <w:tcPr>
            <w:tcW w:w="5940" w:type="dxa"/>
          </w:tcPr>
          <w:p w14:paraId="3E4AEE5A" w14:textId="450AE0BA" w:rsidR="00517F73" w:rsidRPr="00517F73" w:rsidRDefault="00517F73" w:rsidP="00E13CA8">
            <w:pPr>
              <w:rPr>
                <w:b/>
              </w:rPr>
            </w:pPr>
            <w:r w:rsidRPr="00517F73">
              <w:rPr>
                <w:b/>
              </w:rPr>
              <w:t>URN</w:t>
            </w:r>
          </w:p>
        </w:tc>
        <w:tc>
          <w:tcPr>
            <w:tcW w:w="2160" w:type="dxa"/>
          </w:tcPr>
          <w:p w14:paraId="5BA6B7B4" w14:textId="4D5C1823" w:rsidR="00517F73" w:rsidRPr="00517F73" w:rsidRDefault="00517F73" w:rsidP="00E13CA8">
            <w:pPr>
              <w:rPr>
                <w:b/>
              </w:rPr>
            </w:pPr>
            <w:r w:rsidRPr="00517F73">
              <w:rPr>
                <w:b/>
              </w:rPr>
              <w:t>Author</w:t>
            </w:r>
          </w:p>
        </w:tc>
        <w:tc>
          <w:tcPr>
            <w:tcW w:w="3870" w:type="dxa"/>
          </w:tcPr>
          <w:p w14:paraId="41A8D09E" w14:textId="7BD6AFBF" w:rsidR="00517F73" w:rsidRPr="00517F73" w:rsidRDefault="00517F73" w:rsidP="00E13CA8">
            <w:pPr>
              <w:rPr>
                <w:b/>
              </w:rPr>
            </w:pPr>
            <w:r w:rsidRPr="00517F73">
              <w:rPr>
                <w:b/>
              </w:rPr>
              <w:t>Title</w:t>
            </w:r>
          </w:p>
        </w:tc>
      </w:tr>
      <w:tr w:rsidR="00517F73" w14:paraId="64130396" w14:textId="0458021D" w:rsidTr="00860C1D">
        <w:tc>
          <w:tcPr>
            <w:tcW w:w="1008" w:type="dxa"/>
          </w:tcPr>
          <w:p w14:paraId="778C4BD5" w14:textId="76213D13" w:rsidR="00517F73" w:rsidRDefault="00517F73" w:rsidP="00E13CA8">
            <w:r>
              <w:t>HN</w:t>
            </w:r>
          </w:p>
        </w:tc>
        <w:tc>
          <w:tcPr>
            <w:tcW w:w="5940" w:type="dxa"/>
          </w:tcPr>
          <w:p w14:paraId="5C4629E8" w14:textId="74310A7E" w:rsidR="00517F73" w:rsidRDefault="00517F73" w:rsidP="00E13CA8">
            <w:r>
              <w:t>urn:cts:ahcip:DouglasFrame.HippotaNestor</w:t>
            </w:r>
          </w:p>
        </w:tc>
        <w:tc>
          <w:tcPr>
            <w:tcW w:w="2160" w:type="dxa"/>
          </w:tcPr>
          <w:p w14:paraId="0AC2891E" w14:textId="186C8913" w:rsidR="00517F73" w:rsidRDefault="00517F73" w:rsidP="00E13CA8">
            <w:r>
              <w:t>Douglas Frame</w:t>
            </w:r>
          </w:p>
        </w:tc>
        <w:tc>
          <w:tcPr>
            <w:tcW w:w="3870" w:type="dxa"/>
          </w:tcPr>
          <w:p w14:paraId="3F55B54D" w14:textId="16D356C7" w:rsidR="00517F73" w:rsidRPr="00517F73" w:rsidRDefault="00517F73" w:rsidP="00E13CA8">
            <w:pPr>
              <w:rPr>
                <w:i/>
              </w:rPr>
            </w:pPr>
            <w:r>
              <w:rPr>
                <w:i/>
              </w:rPr>
              <w:t>Hippota Nestor</w:t>
            </w:r>
          </w:p>
        </w:tc>
      </w:tr>
      <w:tr w:rsidR="00517F73" w14:paraId="49C10538" w14:textId="56192F9A" w:rsidTr="00860C1D">
        <w:tc>
          <w:tcPr>
            <w:tcW w:w="1008" w:type="dxa"/>
          </w:tcPr>
          <w:p w14:paraId="487D7A77" w14:textId="44B4BE99" w:rsidR="00517F73" w:rsidRDefault="00517F73" w:rsidP="00E13CA8">
            <w:r>
              <w:t>HC</w:t>
            </w:r>
          </w:p>
        </w:tc>
        <w:tc>
          <w:tcPr>
            <w:tcW w:w="5940" w:type="dxa"/>
          </w:tcPr>
          <w:p w14:paraId="10D0136E" w14:textId="1A745876" w:rsidR="00517F73" w:rsidRDefault="00517F73" w:rsidP="00E13CA8">
            <w:r w:rsidRPr="00545FAF">
              <w:t>urn:cts:ahcip:GregoryNagy.HomerTheClassic</w:t>
            </w:r>
          </w:p>
        </w:tc>
        <w:tc>
          <w:tcPr>
            <w:tcW w:w="2160" w:type="dxa"/>
          </w:tcPr>
          <w:p w14:paraId="19862187" w14:textId="7C725924" w:rsidR="00517F73" w:rsidRDefault="00517F73" w:rsidP="00E13CA8">
            <w:r>
              <w:t>Gregory Nagy</w:t>
            </w:r>
          </w:p>
        </w:tc>
        <w:tc>
          <w:tcPr>
            <w:tcW w:w="3870" w:type="dxa"/>
          </w:tcPr>
          <w:p w14:paraId="1F43FE9D" w14:textId="49D2B5B6" w:rsidR="00517F73" w:rsidRPr="00517F73" w:rsidRDefault="00517F73" w:rsidP="00E13CA8">
            <w:pPr>
              <w:rPr>
                <w:i/>
              </w:rPr>
            </w:pPr>
            <w:r>
              <w:rPr>
                <w:i/>
              </w:rPr>
              <w:t>Homer the Classic</w:t>
            </w:r>
          </w:p>
        </w:tc>
      </w:tr>
      <w:tr w:rsidR="00517F73" w14:paraId="0237A8D9" w14:textId="0E8B9472" w:rsidTr="00860C1D">
        <w:tc>
          <w:tcPr>
            <w:tcW w:w="1008" w:type="dxa"/>
          </w:tcPr>
          <w:p w14:paraId="0CF212A2" w14:textId="3391D5DE" w:rsidR="00517F73" w:rsidRDefault="00517F73" w:rsidP="00E13CA8">
            <w:r>
              <w:t>BA</w:t>
            </w:r>
          </w:p>
        </w:tc>
        <w:tc>
          <w:tcPr>
            <w:tcW w:w="5940" w:type="dxa"/>
          </w:tcPr>
          <w:p w14:paraId="3DC189CC" w14:textId="4D96AA73" w:rsidR="00517F73" w:rsidRDefault="00517F73" w:rsidP="00517F73">
            <w:r w:rsidRPr="00545FAF">
              <w:t>urn:cts:ahcip:GregoryNagy.TheBestOfTheAchaeans</w:t>
            </w:r>
          </w:p>
        </w:tc>
        <w:tc>
          <w:tcPr>
            <w:tcW w:w="2160" w:type="dxa"/>
          </w:tcPr>
          <w:p w14:paraId="44D032BF" w14:textId="2815E6FA" w:rsidR="00517F73" w:rsidRDefault="00517F73" w:rsidP="00E13CA8">
            <w:r>
              <w:t>Gregory Nagy</w:t>
            </w:r>
          </w:p>
        </w:tc>
        <w:tc>
          <w:tcPr>
            <w:tcW w:w="3870" w:type="dxa"/>
          </w:tcPr>
          <w:p w14:paraId="1BCA90DD" w14:textId="6B4ADF8E" w:rsidR="00517F73" w:rsidRPr="00517F73" w:rsidRDefault="00517F73" w:rsidP="00E13CA8">
            <w:pPr>
              <w:rPr>
                <w:i/>
              </w:rPr>
            </w:pPr>
            <w:r>
              <w:rPr>
                <w:i/>
              </w:rPr>
              <w:t>The Best of the Achaeans</w:t>
            </w:r>
          </w:p>
        </w:tc>
      </w:tr>
      <w:tr w:rsidR="00517F73" w14:paraId="3B3E7806" w14:textId="452431A5" w:rsidTr="00860C1D">
        <w:tc>
          <w:tcPr>
            <w:tcW w:w="1008" w:type="dxa"/>
          </w:tcPr>
          <w:p w14:paraId="2C55500B" w14:textId="326F4984" w:rsidR="00517F73" w:rsidRDefault="00517F73" w:rsidP="00E13CA8">
            <w:r>
              <w:t>PH</w:t>
            </w:r>
          </w:p>
        </w:tc>
        <w:tc>
          <w:tcPr>
            <w:tcW w:w="5940" w:type="dxa"/>
          </w:tcPr>
          <w:p w14:paraId="5FEC8D37" w14:textId="5877B67C" w:rsidR="00517F73" w:rsidRPr="00545FAF" w:rsidRDefault="00517F73" w:rsidP="00E13CA8">
            <w:r w:rsidRPr="00545FAF">
              <w:t>urn:cts:ahcip:GregoryNagy.PindarsHomer</w:t>
            </w:r>
          </w:p>
        </w:tc>
        <w:tc>
          <w:tcPr>
            <w:tcW w:w="2160" w:type="dxa"/>
          </w:tcPr>
          <w:p w14:paraId="10F251F2" w14:textId="03A09B20" w:rsidR="00517F73" w:rsidRDefault="00517F73" w:rsidP="00E13CA8">
            <w:r>
              <w:t>Gregory Nagy</w:t>
            </w:r>
          </w:p>
        </w:tc>
        <w:tc>
          <w:tcPr>
            <w:tcW w:w="3870" w:type="dxa"/>
          </w:tcPr>
          <w:p w14:paraId="18916C19" w14:textId="436BD991" w:rsidR="00517F73" w:rsidRPr="00517F73" w:rsidRDefault="00517F73" w:rsidP="00E13CA8">
            <w:pPr>
              <w:rPr>
                <w:i/>
              </w:rPr>
            </w:pPr>
            <w:r>
              <w:rPr>
                <w:i/>
              </w:rPr>
              <w:t>Pindar's Homer</w:t>
            </w:r>
          </w:p>
        </w:tc>
      </w:tr>
      <w:tr w:rsidR="00517F73" w14:paraId="7FC4EB03" w14:textId="1DECB6CD" w:rsidTr="00860C1D">
        <w:tc>
          <w:tcPr>
            <w:tcW w:w="1008" w:type="dxa"/>
          </w:tcPr>
          <w:p w14:paraId="668F401D" w14:textId="70568121" w:rsidR="00517F73" w:rsidRDefault="00860C1D" w:rsidP="00E13CA8">
            <w:r>
              <w:t>ME</w:t>
            </w:r>
          </w:p>
        </w:tc>
        <w:tc>
          <w:tcPr>
            <w:tcW w:w="5940" w:type="dxa"/>
          </w:tcPr>
          <w:p w14:paraId="209B92BF" w14:textId="33B8206B" w:rsidR="00517F73" w:rsidRDefault="00860C1D" w:rsidP="00860C1D">
            <w:r w:rsidRPr="00545FAF">
              <w:t>urn:cts:ahcip:LeonardMuellner.TheMeaningOfHomericEYXOMAI</w:t>
            </w:r>
          </w:p>
        </w:tc>
        <w:tc>
          <w:tcPr>
            <w:tcW w:w="2160" w:type="dxa"/>
          </w:tcPr>
          <w:p w14:paraId="0B5966AE" w14:textId="39C074C6" w:rsidR="00517F73" w:rsidRDefault="00860C1D" w:rsidP="00E13CA8">
            <w:r>
              <w:t>Leonard Muellner</w:t>
            </w:r>
          </w:p>
        </w:tc>
        <w:tc>
          <w:tcPr>
            <w:tcW w:w="3870" w:type="dxa"/>
          </w:tcPr>
          <w:p w14:paraId="75AF8E67" w14:textId="77777777" w:rsidR="00860C1D" w:rsidRPr="00860C1D" w:rsidRDefault="00860C1D" w:rsidP="00860C1D">
            <w:pPr>
              <w:rPr>
                <w:i/>
              </w:rPr>
            </w:pPr>
            <w:r w:rsidRPr="00860C1D">
              <w:rPr>
                <w:i/>
              </w:rPr>
              <w:t>The Meaning of Homeric EYXOMAI Through Its Formulas</w:t>
            </w:r>
          </w:p>
          <w:p w14:paraId="1D2DA766" w14:textId="036FDE4B" w:rsidR="00517F73" w:rsidRPr="00860C1D" w:rsidRDefault="00517F73" w:rsidP="00E13CA8">
            <w:pPr>
              <w:rPr>
                <w:i/>
              </w:rPr>
            </w:pPr>
          </w:p>
        </w:tc>
      </w:tr>
      <w:tr w:rsidR="00517F73" w14:paraId="46D3767F" w14:textId="7B7BAE1F" w:rsidTr="00860C1D">
        <w:tc>
          <w:tcPr>
            <w:tcW w:w="1008" w:type="dxa"/>
          </w:tcPr>
          <w:p w14:paraId="4078CF12" w14:textId="76F1C66E" w:rsidR="00517F73" w:rsidRDefault="00C2747D" w:rsidP="00E13CA8">
            <w:r>
              <w:t>AA</w:t>
            </w:r>
          </w:p>
        </w:tc>
        <w:tc>
          <w:tcPr>
            <w:tcW w:w="5940" w:type="dxa"/>
          </w:tcPr>
          <w:p w14:paraId="75ACBE7A" w14:textId="023AE43A" w:rsidR="00517F73" w:rsidRDefault="00C2747D" w:rsidP="00E13CA8">
            <w:r w:rsidRPr="00545FAF">
              <w:t>urn:cts:ahcip:LeonardMuellner.TheAngerOfAchilles</w:t>
            </w:r>
          </w:p>
        </w:tc>
        <w:tc>
          <w:tcPr>
            <w:tcW w:w="2160" w:type="dxa"/>
          </w:tcPr>
          <w:p w14:paraId="7F143F75" w14:textId="23290000" w:rsidR="00517F73" w:rsidRDefault="00C2747D" w:rsidP="00E13CA8">
            <w:r>
              <w:t>Leonard Muellner</w:t>
            </w:r>
          </w:p>
        </w:tc>
        <w:tc>
          <w:tcPr>
            <w:tcW w:w="3870" w:type="dxa"/>
          </w:tcPr>
          <w:p w14:paraId="6871B16D" w14:textId="572B8599" w:rsidR="00C2747D" w:rsidRPr="00C2747D" w:rsidRDefault="00C2747D" w:rsidP="00C2747D">
            <w:pPr>
              <w:rPr>
                <w:i/>
              </w:rPr>
            </w:pPr>
            <w:r w:rsidRPr="00C2747D">
              <w:rPr>
                <w:i/>
              </w:rPr>
              <w:t>The Anger of Achilles</w:t>
            </w:r>
            <w:r w:rsidR="00545FAF">
              <w:rPr>
                <w:i/>
              </w:rPr>
              <w:t xml:space="preserve"> </w:t>
            </w:r>
            <w:r w:rsidRPr="00C2747D">
              <w:rPr>
                <w:i/>
              </w:rPr>
              <w:t xml:space="preserve">: </w:t>
            </w:r>
            <w:hyperlink r:id="rId10" w:history="1">
              <w:r w:rsidRPr="00C2747D">
                <w:rPr>
                  <w:i/>
                </w:rPr>
                <w:t>Mēnis in Greek Epic</w:t>
              </w:r>
            </w:hyperlink>
          </w:p>
          <w:p w14:paraId="52D3D2B2" w14:textId="076F702B" w:rsidR="00517F73" w:rsidRDefault="00517F73" w:rsidP="00E13CA8"/>
        </w:tc>
      </w:tr>
      <w:tr w:rsidR="00517F73" w14:paraId="0A2A85E2" w14:textId="2346E52F" w:rsidTr="00860C1D">
        <w:tc>
          <w:tcPr>
            <w:tcW w:w="1008" w:type="dxa"/>
          </w:tcPr>
          <w:p w14:paraId="3975BDE1" w14:textId="644ECEC9" w:rsidR="00517F73" w:rsidRDefault="000A0FF9" w:rsidP="00E13CA8">
            <w:r>
              <w:t>MR</w:t>
            </w:r>
          </w:p>
        </w:tc>
        <w:tc>
          <w:tcPr>
            <w:tcW w:w="5940" w:type="dxa"/>
          </w:tcPr>
          <w:p w14:paraId="75022F1C" w14:textId="737014EA" w:rsidR="00517F73" w:rsidRDefault="005F7DD9" w:rsidP="00E13CA8">
            <w:r>
              <w:t>urn:cts:ahcip:DouglasFrame.TheMythOfReturn</w:t>
            </w:r>
          </w:p>
        </w:tc>
        <w:tc>
          <w:tcPr>
            <w:tcW w:w="2160" w:type="dxa"/>
          </w:tcPr>
          <w:p w14:paraId="6FD64539" w14:textId="2DDF4D92" w:rsidR="00517F73" w:rsidRDefault="005F7DD9" w:rsidP="00E13CA8">
            <w:r>
              <w:t>Douglas Frame</w:t>
            </w:r>
          </w:p>
        </w:tc>
        <w:tc>
          <w:tcPr>
            <w:tcW w:w="3870" w:type="dxa"/>
          </w:tcPr>
          <w:p w14:paraId="71D312D7" w14:textId="6AAF978E" w:rsidR="00517F73" w:rsidRDefault="005F7DD9" w:rsidP="00E13CA8">
            <w:r w:rsidRPr="005F7DD9">
              <w:rPr>
                <w:i/>
              </w:rPr>
              <w:t>The Myth of Return in Early Greek Epic</w:t>
            </w:r>
          </w:p>
        </w:tc>
      </w:tr>
      <w:tr w:rsidR="00517F73" w14:paraId="420D50A4" w14:textId="4986A8FB" w:rsidTr="00860C1D">
        <w:tc>
          <w:tcPr>
            <w:tcW w:w="1008" w:type="dxa"/>
          </w:tcPr>
          <w:p w14:paraId="1C5EF16A" w14:textId="264A8EC8" w:rsidR="00517F73" w:rsidRDefault="005F7DD9" w:rsidP="00E13CA8">
            <w:r>
              <w:t>HPC</w:t>
            </w:r>
          </w:p>
        </w:tc>
        <w:tc>
          <w:tcPr>
            <w:tcW w:w="5940" w:type="dxa"/>
          </w:tcPr>
          <w:p w14:paraId="01603FD6" w14:textId="7F5DE8AE" w:rsidR="00517F73" w:rsidRDefault="00545FAF" w:rsidP="00545FAF">
            <w:r w:rsidRPr="00545FAF">
              <w:t>urn:cts:ahcip:GregoryNagy.HomerThe</w:t>
            </w:r>
            <w:r w:rsidRPr="00545FAF">
              <w:t>Prec</w:t>
            </w:r>
            <w:r w:rsidRPr="00545FAF">
              <w:t>lassic</w:t>
            </w:r>
          </w:p>
        </w:tc>
        <w:tc>
          <w:tcPr>
            <w:tcW w:w="2160" w:type="dxa"/>
          </w:tcPr>
          <w:p w14:paraId="647D9D6D" w14:textId="50B45498" w:rsidR="00517F73" w:rsidRDefault="00545FAF" w:rsidP="00E13CA8">
            <w:r>
              <w:t>Gregory Nagy</w:t>
            </w:r>
          </w:p>
        </w:tc>
        <w:tc>
          <w:tcPr>
            <w:tcW w:w="3870" w:type="dxa"/>
          </w:tcPr>
          <w:p w14:paraId="4E0D8E28" w14:textId="311E2EF3" w:rsidR="00517F73" w:rsidRDefault="00545FAF" w:rsidP="00E13CA8">
            <w:r w:rsidRPr="00545FAF">
              <w:rPr>
                <w:i/>
              </w:rPr>
              <w:t>Homer the Preclassic</w:t>
            </w:r>
          </w:p>
        </w:tc>
      </w:tr>
      <w:tr w:rsidR="00517F73" w14:paraId="7A601D57" w14:textId="791380B9" w:rsidTr="00860C1D">
        <w:tc>
          <w:tcPr>
            <w:tcW w:w="1008" w:type="dxa"/>
          </w:tcPr>
          <w:p w14:paraId="13DB740E" w14:textId="5B5B2A0E" w:rsidR="00517F73" w:rsidRDefault="00545FAF" w:rsidP="00E13CA8">
            <w:r>
              <w:t>PP</w:t>
            </w:r>
          </w:p>
        </w:tc>
        <w:tc>
          <w:tcPr>
            <w:tcW w:w="5940" w:type="dxa"/>
          </w:tcPr>
          <w:p w14:paraId="64FFF3B5" w14:textId="0D2F5693" w:rsidR="00517F73" w:rsidRDefault="00545FAF" w:rsidP="00545FAF">
            <w:r w:rsidRPr="00545FAF">
              <w:t>urn:cts:ahcip:GregoryNagy.</w:t>
            </w:r>
            <w:r w:rsidRPr="00545FAF">
              <w:t>PoetryAsPerformance</w:t>
            </w:r>
          </w:p>
        </w:tc>
        <w:tc>
          <w:tcPr>
            <w:tcW w:w="2160" w:type="dxa"/>
          </w:tcPr>
          <w:p w14:paraId="4A35508D" w14:textId="6C18F9A0" w:rsidR="00517F73" w:rsidRDefault="00545FAF" w:rsidP="00E13CA8">
            <w:r>
              <w:t>Gregory Nagy</w:t>
            </w:r>
          </w:p>
        </w:tc>
        <w:tc>
          <w:tcPr>
            <w:tcW w:w="3870" w:type="dxa"/>
          </w:tcPr>
          <w:p w14:paraId="7C3E447F" w14:textId="4B6E07BC" w:rsidR="00517F73" w:rsidRPr="00545FAF" w:rsidRDefault="00545FAF" w:rsidP="00E13CA8">
            <w:pPr>
              <w:rPr>
                <w:i/>
              </w:rPr>
            </w:pPr>
            <w:r w:rsidRPr="00545FAF">
              <w:rPr>
                <w:i/>
              </w:rPr>
              <w:t>Poetry as Performance : Homer and Beyond</w:t>
            </w:r>
          </w:p>
        </w:tc>
      </w:tr>
    </w:tbl>
    <w:p w14:paraId="5491BA1A" w14:textId="77777777" w:rsidR="00E13CA8" w:rsidRPr="00E13CA8" w:rsidRDefault="00E13CA8" w:rsidP="00E13CA8"/>
    <w:p w14:paraId="56E843B9" w14:textId="77777777" w:rsidR="00530C5E" w:rsidRPr="00CE66A0" w:rsidRDefault="00530C5E">
      <w:pPr>
        <w:rPr>
          <w:sz w:val="20"/>
          <w:szCs w:val="20"/>
          <w:lang w:val="is-IS"/>
        </w:rPr>
      </w:pPr>
    </w:p>
    <w:sectPr w:rsidR="00530C5E" w:rsidRPr="00CE66A0" w:rsidSect="00CE66A0">
      <w:footerReference w:type="even" r:id="rId11"/>
      <w:footerReference w:type="default" r:id="rId12"/>
      <w:pgSz w:w="15840" w:h="12240" w:orient="landscape"/>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3C9CD" w14:textId="77777777" w:rsidR="005F7DD9" w:rsidRDefault="005F7DD9" w:rsidP="00CF0AA7">
      <w:r>
        <w:separator/>
      </w:r>
    </w:p>
  </w:endnote>
  <w:endnote w:type="continuationSeparator" w:id="0">
    <w:p w14:paraId="09618BCF" w14:textId="77777777" w:rsidR="005F7DD9" w:rsidRDefault="005F7DD9" w:rsidP="00CF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C919" w14:textId="77777777" w:rsidR="005F7DD9" w:rsidRDefault="005F7DD9" w:rsidP="00CF0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0184E5" w14:textId="77777777" w:rsidR="005F7DD9" w:rsidRDefault="005F7D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69FB1" w14:textId="77777777" w:rsidR="005F7DD9" w:rsidRDefault="005F7DD9" w:rsidP="00CF0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C2D">
      <w:rPr>
        <w:rStyle w:val="PageNumber"/>
        <w:noProof/>
      </w:rPr>
      <w:t>1</w:t>
    </w:r>
    <w:r>
      <w:rPr>
        <w:rStyle w:val="PageNumber"/>
      </w:rPr>
      <w:fldChar w:fldCharType="end"/>
    </w:r>
  </w:p>
  <w:p w14:paraId="63890D7C" w14:textId="77777777" w:rsidR="005F7DD9" w:rsidRDefault="005F7D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AFD9B" w14:textId="77777777" w:rsidR="005F7DD9" w:rsidRDefault="005F7DD9" w:rsidP="00CF0AA7">
      <w:r>
        <w:separator/>
      </w:r>
    </w:p>
  </w:footnote>
  <w:footnote w:type="continuationSeparator" w:id="0">
    <w:p w14:paraId="5CDF21C2" w14:textId="77777777" w:rsidR="005F7DD9" w:rsidRDefault="005F7DD9" w:rsidP="00CF0A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4DA"/>
    <w:multiLevelType w:val="hybridMultilevel"/>
    <w:tmpl w:val="AA04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8281A"/>
    <w:multiLevelType w:val="hybridMultilevel"/>
    <w:tmpl w:val="2A60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151C0"/>
    <w:multiLevelType w:val="hybridMultilevel"/>
    <w:tmpl w:val="115C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C01D56"/>
    <w:multiLevelType w:val="hybridMultilevel"/>
    <w:tmpl w:val="2506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5712AC"/>
    <w:multiLevelType w:val="hybridMultilevel"/>
    <w:tmpl w:val="5CB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A0"/>
    <w:rsid w:val="00025F44"/>
    <w:rsid w:val="000A0FF9"/>
    <w:rsid w:val="002B6C2D"/>
    <w:rsid w:val="002C1ECA"/>
    <w:rsid w:val="002E0100"/>
    <w:rsid w:val="003618C1"/>
    <w:rsid w:val="0045588D"/>
    <w:rsid w:val="0046091E"/>
    <w:rsid w:val="005143CA"/>
    <w:rsid w:val="00517F73"/>
    <w:rsid w:val="00530C5E"/>
    <w:rsid w:val="00545FAF"/>
    <w:rsid w:val="005656D4"/>
    <w:rsid w:val="005F7DD9"/>
    <w:rsid w:val="006238CD"/>
    <w:rsid w:val="006250C6"/>
    <w:rsid w:val="006516D7"/>
    <w:rsid w:val="006650F5"/>
    <w:rsid w:val="006747EC"/>
    <w:rsid w:val="006B431F"/>
    <w:rsid w:val="006C572E"/>
    <w:rsid w:val="006F12BC"/>
    <w:rsid w:val="0075660F"/>
    <w:rsid w:val="00786749"/>
    <w:rsid w:val="007F4E5B"/>
    <w:rsid w:val="00860C1D"/>
    <w:rsid w:val="00867F7E"/>
    <w:rsid w:val="008719C1"/>
    <w:rsid w:val="00894CD4"/>
    <w:rsid w:val="008C2D83"/>
    <w:rsid w:val="008F2B24"/>
    <w:rsid w:val="00964FE4"/>
    <w:rsid w:val="009A72D6"/>
    <w:rsid w:val="00A0252E"/>
    <w:rsid w:val="00A15512"/>
    <w:rsid w:val="00AF5B2A"/>
    <w:rsid w:val="00BD79B3"/>
    <w:rsid w:val="00C203C7"/>
    <w:rsid w:val="00C25FB1"/>
    <w:rsid w:val="00C2747D"/>
    <w:rsid w:val="00C92A5C"/>
    <w:rsid w:val="00CE3D3C"/>
    <w:rsid w:val="00CE66A0"/>
    <w:rsid w:val="00CF0AA7"/>
    <w:rsid w:val="00D44F37"/>
    <w:rsid w:val="00E13CA8"/>
    <w:rsid w:val="00E15399"/>
    <w:rsid w:val="00E33D9A"/>
    <w:rsid w:val="00E93086"/>
    <w:rsid w:val="00EA0C62"/>
    <w:rsid w:val="00F409CC"/>
    <w:rsid w:val="00F51E36"/>
    <w:rsid w:val="00FE0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A5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A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C274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1Char">
    <w:name w:val="Heading 1 Char"/>
    <w:basedOn w:val="DefaultParagraphFont"/>
    <w:link w:val="Heading1"/>
    <w:uiPriority w:val="9"/>
    <w:rsid w:val="00CF0AA7"/>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CF0AA7"/>
    <w:pPr>
      <w:tabs>
        <w:tab w:val="center" w:pos="4320"/>
        <w:tab w:val="right" w:pos="8640"/>
      </w:tabs>
    </w:pPr>
  </w:style>
  <w:style w:type="character" w:customStyle="1" w:styleId="FooterChar">
    <w:name w:val="Footer Char"/>
    <w:basedOn w:val="DefaultParagraphFont"/>
    <w:link w:val="Footer"/>
    <w:uiPriority w:val="99"/>
    <w:rsid w:val="00CF0AA7"/>
  </w:style>
  <w:style w:type="character" w:styleId="PageNumber">
    <w:name w:val="page number"/>
    <w:basedOn w:val="DefaultParagraphFont"/>
    <w:uiPriority w:val="99"/>
    <w:semiHidden/>
    <w:unhideWhenUsed/>
    <w:rsid w:val="00CF0AA7"/>
  </w:style>
  <w:style w:type="paragraph" w:styleId="ListParagraph">
    <w:name w:val="List Paragraph"/>
    <w:basedOn w:val="Normal"/>
    <w:uiPriority w:val="34"/>
    <w:qFormat/>
    <w:rsid w:val="00EA0C62"/>
    <w:pPr>
      <w:ind w:left="720"/>
      <w:contextualSpacing/>
    </w:pPr>
  </w:style>
  <w:style w:type="table" w:styleId="TableGrid">
    <w:name w:val="Table Grid"/>
    <w:basedOn w:val="TableNormal"/>
    <w:uiPriority w:val="59"/>
    <w:rsid w:val="007F4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DefaultParagraphFont"/>
    <w:rsid w:val="00860C1D"/>
  </w:style>
  <w:style w:type="character" w:customStyle="1" w:styleId="Heading3Char">
    <w:name w:val="Heading 3 Char"/>
    <w:basedOn w:val="DefaultParagraphFont"/>
    <w:link w:val="Heading3"/>
    <w:uiPriority w:val="9"/>
    <w:rsid w:val="00C2747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747D"/>
    <w:rPr>
      <w:color w:val="0000FF"/>
      <w:u w:val="single"/>
    </w:rPr>
  </w:style>
  <w:style w:type="paragraph" w:styleId="Title">
    <w:name w:val="Title"/>
    <w:basedOn w:val="Normal"/>
    <w:next w:val="Normal"/>
    <w:link w:val="TitleChar"/>
    <w:uiPriority w:val="10"/>
    <w:qFormat/>
    <w:rsid w:val="002B6C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C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A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C274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1Char">
    <w:name w:val="Heading 1 Char"/>
    <w:basedOn w:val="DefaultParagraphFont"/>
    <w:link w:val="Heading1"/>
    <w:uiPriority w:val="9"/>
    <w:rsid w:val="00CF0AA7"/>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CF0AA7"/>
    <w:pPr>
      <w:tabs>
        <w:tab w:val="center" w:pos="4320"/>
        <w:tab w:val="right" w:pos="8640"/>
      </w:tabs>
    </w:pPr>
  </w:style>
  <w:style w:type="character" w:customStyle="1" w:styleId="FooterChar">
    <w:name w:val="Footer Char"/>
    <w:basedOn w:val="DefaultParagraphFont"/>
    <w:link w:val="Footer"/>
    <w:uiPriority w:val="99"/>
    <w:rsid w:val="00CF0AA7"/>
  </w:style>
  <w:style w:type="character" w:styleId="PageNumber">
    <w:name w:val="page number"/>
    <w:basedOn w:val="DefaultParagraphFont"/>
    <w:uiPriority w:val="99"/>
    <w:semiHidden/>
    <w:unhideWhenUsed/>
    <w:rsid w:val="00CF0AA7"/>
  </w:style>
  <w:style w:type="paragraph" w:styleId="ListParagraph">
    <w:name w:val="List Paragraph"/>
    <w:basedOn w:val="Normal"/>
    <w:uiPriority w:val="34"/>
    <w:qFormat/>
    <w:rsid w:val="00EA0C62"/>
    <w:pPr>
      <w:ind w:left="720"/>
      <w:contextualSpacing/>
    </w:pPr>
  </w:style>
  <w:style w:type="table" w:styleId="TableGrid">
    <w:name w:val="Table Grid"/>
    <w:basedOn w:val="TableNormal"/>
    <w:uiPriority w:val="59"/>
    <w:rsid w:val="007F4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DefaultParagraphFont"/>
    <w:rsid w:val="00860C1D"/>
  </w:style>
  <w:style w:type="character" w:customStyle="1" w:styleId="Heading3Char">
    <w:name w:val="Heading 3 Char"/>
    <w:basedOn w:val="DefaultParagraphFont"/>
    <w:link w:val="Heading3"/>
    <w:uiPriority w:val="9"/>
    <w:rsid w:val="00C2747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747D"/>
    <w:rPr>
      <w:color w:val="0000FF"/>
      <w:u w:val="single"/>
    </w:rPr>
  </w:style>
  <w:style w:type="paragraph" w:styleId="Title">
    <w:name w:val="Title"/>
    <w:basedOn w:val="Normal"/>
    <w:next w:val="Normal"/>
    <w:link w:val="TitleChar"/>
    <w:uiPriority w:val="10"/>
    <w:qFormat/>
    <w:rsid w:val="002B6C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C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623377">
      <w:bodyDiv w:val="1"/>
      <w:marLeft w:val="0"/>
      <w:marRight w:val="0"/>
      <w:marTop w:val="0"/>
      <w:marBottom w:val="0"/>
      <w:divBdr>
        <w:top w:val="none" w:sz="0" w:space="0" w:color="auto"/>
        <w:left w:val="none" w:sz="0" w:space="0" w:color="auto"/>
        <w:bottom w:val="none" w:sz="0" w:space="0" w:color="auto"/>
        <w:right w:val="none" w:sz="0" w:space="0" w:color="auto"/>
      </w:divBdr>
    </w:div>
    <w:div w:id="1991013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omermultitext.org/hmt-docs/specifications/ctsurn/" TargetMode="External"/><Relationship Id="rId10" Type="http://schemas.openxmlformats.org/officeDocument/2006/relationships/hyperlink" Target="http://books.google.com/books?id=--zPn_8LgL0C&amp;printsec=frontcover&amp;dq=muellner+anger+of+achilles&amp;hl=en&amp;sa=X&amp;ei=-Xn6U_HpIoGkyQSA_4G4BQ&amp;ved=0CB8Q6AEw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68264-F2C6-A84F-861E-663EAB23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1677</Words>
  <Characters>9562</Characters>
  <Application>Microsoft Macintosh Word</Application>
  <DocSecurity>0</DocSecurity>
  <Lines>79</Lines>
  <Paragraphs>22</Paragraphs>
  <ScaleCrop>false</ScaleCrop>
  <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Jenson</dc:creator>
  <cp:keywords/>
  <dc:description/>
  <cp:lastModifiedBy>Rob Jenson</cp:lastModifiedBy>
  <cp:revision>9</cp:revision>
  <dcterms:created xsi:type="dcterms:W3CDTF">2014-08-14T19:06:00Z</dcterms:created>
  <dcterms:modified xsi:type="dcterms:W3CDTF">2014-08-25T00:11:00Z</dcterms:modified>
</cp:coreProperties>
</file>