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星联应急叫应平台 2 期 · 线上回归执行报告</w:t>
      </w:r>
    </w:p>
    <w:p>
      <w:r>
        <w:rPr>
          <w:rFonts w:ascii="微软雅黑" w:hAnsi="微软雅黑" w:eastAsia="微软雅黑"/>
          <w:b w:val="0"/>
          <w:sz w:val="20"/>
        </w:rPr>
        <w:t>项目：【天翼】星联应急叫应平台2期</w:t>
      </w:r>
    </w:p>
    <w:p>
      <w:r>
        <w:rPr>
          <w:rFonts w:ascii="微软雅黑" w:hAnsi="微软雅黑" w:eastAsia="微软雅黑"/>
          <w:b w:val="0"/>
          <w:sz w:val="20"/>
        </w:rPr>
        <w:t>基线：线上回归场景用例（核心 28 条 + 补充 8 条）</w:t>
      </w:r>
    </w:p>
    <w:p>
      <w:r>
        <w:rPr>
          <w:rFonts w:ascii="微软雅黑" w:hAnsi="微软雅黑" w:eastAsia="微软雅黑"/>
          <w:b w:val="0"/>
          <w:sz w:val="20"/>
        </w:rPr>
        <w:t>执行日：2026-07-23</w:t>
      </w:r>
    </w:p>
    <w:p>
      <w:r>
        <w:rPr>
          <w:rFonts w:ascii="微软雅黑" w:hAnsi="微软雅黑" w:eastAsia="微软雅黑"/>
          <w:b w:val="0"/>
          <w:sz w:val="20"/>
        </w:rPr>
        <w:t>规则基线：PRD v2.2</w:t>
      </w:r>
    </w:p>
    <w:p>
      <w:r>
        <w:rPr>
          <w:rFonts w:ascii="微软雅黑" w:hAnsi="微软雅黑" w:eastAsia="微软雅黑"/>
          <w:b/>
          <w:sz w:val="28"/>
        </w:rPr>
        <w:t>执行结论</w:t>
      </w:r>
    </w:p>
    <w:p>
      <w:r>
        <w:rPr>
          <w:rFonts w:ascii="微软雅黑" w:hAnsi="微软雅黑" w:eastAsia="微软雅黑"/>
          <w:b w:val="0"/>
          <w:sz w:val="22"/>
        </w:rPr>
        <w:t>本轮线上回归场景用例已执行通过，核心业务流程（对讲群 → 消息路由 → 计费归属 → 欠费/封禁 → 套餐支付）无阻塞性缺陷。建议下一工作日结合真实救援棒设备完成全流程复验后，再出具最终放行意见。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模块通过</w:t>
            </w:r>
          </w:p>
        </w:tc>
        <w:tc>
          <w:tcPr>
            <w:tcW w:type="dxa" w:w="4320"/>
          </w:tcPr>
          <w:p>
            <w:r>
              <w:t>8/8</w:t>
            </w:r>
          </w:p>
        </w:tc>
      </w:tr>
      <w:tr>
        <w:tc>
          <w:tcPr>
            <w:tcW w:type="dxa" w:w="4320"/>
          </w:tcPr>
          <w:p>
            <w:r>
              <w:t>场景通过</w:t>
            </w:r>
          </w:p>
        </w:tc>
        <w:tc>
          <w:tcPr>
            <w:tcW w:type="dxa" w:w="4320"/>
          </w:tcPr>
          <w:p>
            <w:r>
              <w:t>36/36</w:t>
            </w:r>
          </w:p>
        </w:tc>
      </w:tr>
      <w:tr>
        <w:tc>
          <w:tcPr>
            <w:tcW w:type="dxa" w:w="4320"/>
          </w:tcPr>
          <w:p>
            <w:r>
              <w:t>P0/红线通过</w:t>
            </w:r>
          </w:p>
        </w:tc>
        <w:tc>
          <w:tcPr>
            <w:tcW w:type="dxa" w:w="4320"/>
          </w:tcPr>
          <w:p>
            <w:r>
              <w:t>19/19</w:t>
            </w:r>
          </w:p>
        </w:tc>
      </w:tr>
      <w:tr>
        <w:tc>
          <w:tcPr>
            <w:tcW w:type="dxa" w:w="4320"/>
          </w:tcPr>
          <w:p>
            <w:r>
              <w:t>阻塞缺陷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• 核心流程无阻塞</w:t>
      </w:r>
    </w:p>
    <w:p>
      <w:r>
        <w:rPr>
          <w:rFonts w:ascii="微软雅黑" w:hAnsi="微软雅黑" w:eastAsia="微软雅黑"/>
          <w:b w:val="0"/>
          <w:sz w:val="22"/>
        </w:rPr>
        <w:t>• 线上环境已验</w:t>
      </w:r>
    </w:p>
    <w:p>
      <w:r>
        <w:rPr>
          <w:rFonts w:ascii="微软雅黑" w:hAnsi="微软雅黑" w:eastAsia="微软雅黑"/>
          <w:b w:val="0"/>
          <w:sz w:val="22"/>
        </w:rPr>
        <w:t>• 待真机全流程复验</w:t>
      </w:r>
    </w:p>
    <w:p>
      <w:r>
        <w:rPr>
          <w:rFonts w:ascii="微软雅黑" w:hAnsi="微软雅黑" w:eastAsia="微软雅黑"/>
          <w:b/>
          <w:sz w:val="28"/>
        </w:rPr>
        <w:t>一、模块执行结果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其中 P0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P0 冒烟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建群→邀请→语音→SOS/位置→计费→退豆→地图</w:t>
            </w:r>
          </w:p>
        </w:tc>
      </w:tr>
      <w:tr>
        <w:tc>
          <w:tcPr>
            <w:tcW w:type="dxa" w:w="1728"/>
          </w:tcPr>
          <w:p>
            <w:r>
              <w:t>对讲群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单活跃群 / 结束群 / 移除 / 超时退还</w:t>
            </w:r>
          </w:p>
        </w:tc>
      </w:tr>
      <w:tr>
        <w:tc>
          <w:tcPr>
            <w:tcW w:type="dxa" w:w="1728"/>
          </w:tcPr>
          <w:p>
            <w:r>
              <w:t>消息路由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语音分流 · SOS/普通位置 · ACK · 下行计费</w:t>
            </w:r>
          </w:p>
        </w:tc>
      </w:tr>
      <w:tr>
        <w:tc>
          <w:tcPr>
            <w:tcW w:type="dxa" w:w="1728"/>
          </w:tcPr>
          <w:p>
            <w:r>
              <w:t>计费归属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双绑企业优先 · 子池独立 · 结算时快照</w:t>
            </w:r>
          </w:p>
        </w:tc>
      </w:tr>
      <w:tr>
        <w:tc>
          <w:tcPr>
            <w:tcW w:type="dxa" w:w="1728"/>
          </w:tcPr>
          <w:p>
            <w:r>
              <w:t>欠费/封禁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企业欠费不断讯 · 个人分类型封禁 · 无我的停发</w:t>
            </w:r>
          </w:p>
        </w:tc>
      </w:tr>
      <w:tr>
        <w:tc>
          <w:tcPr>
            <w:tcW w:type="dxa" w:w="1728"/>
          </w:tcPr>
          <w:p>
            <w:r>
              <w:t>套餐支付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套餐生效 · 订单隔离 · 回调幂等观察通过</w:t>
            </w:r>
          </w:p>
        </w:tc>
      </w:tr>
      <w:tr>
        <w:tc>
          <w:tcPr>
            <w:tcW w:type="dxa" w:w="1728"/>
          </w:tcPr>
          <w:p>
            <w:r>
              <w:t>后台监控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参数 / 欠费核销 / 消息筛选 / 入库激活抽检</w:t>
            </w:r>
          </w:p>
        </w:tc>
      </w:tr>
      <w:tr>
        <w:tc>
          <w:tcPr>
            <w:tcW w:type="dxa" w:w="1728"/>
          </w:tcPr>
          <w:p>
            <w:r>
              <w:t>上线红线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上行不乘倍 · 拒绝退豆 · ACK语义；清欠三路径仅观察</w:t>
            </w:r>
          </w:p>
        </w:tc>
      </w:tr>
    </w:tbl>
    <w:p/>
    <w:p>
      <w:r>
        <w:rPr>
          <w:rFonts w:ascii="微软雅黑" w:hAnsi="微软雅黑" w:eastAsia="微软雅黑"/>
          <w:b/>
          <w:sz w:val="28"/>
        </w:rPr>
        <w:t>二、P0 冒烟明细</w:t>
      </w:r>
    </w:p>
    <w:p>
      <w:r>
        <w:rPr>
          <w:rFonts w:ascii="微软雅黑" w:hAnsi="微软雅黑" w:eastAsia="微软雅黑"/>
          <w:b w:val="0"/>
          <w:sz w:val="22"/>
        </w:rPr>
        <w:t>对应用例集「P0 冒烟」S01–S08；本轮结论：全部通过，可支撑「核心链路可继续真机验证」。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t>S01</w:t>
            </w:r>
          </w:p>
        </w:tc>
        <w:tc>
          <w:tcPr>
            <w:tcW w:type="dxa" w:w="2160"/>
          </w:tcPr>
          <w:p>
            <w:r>
              <w:t>创建常驻对讲群</w:t>
            </w:r>
          </w:p>
        </w:tc>
        <w:tc>
          <w:tcPr>
            <w:tcW w:type="dxa" w:w="2160"/>
          </w:tcPr>
          <w:p>
            <w:r>
              <w:t>Web/小程序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S02</w:t>
            </w:r>
          </w:p>
        </w:tc>
        <w:tc>
          <w:tcPr>
            <w:tcW w:type="dxa" w:w="2160"/>
          </w:tcPr>
          <w:p>
            <w:r>
              <w:t>邀请他人设备并接受</w:t>
            </w:r>
          </w:p>
        </w:tc>
        <w:tc>
          <w:tcPr>
            <w:tcW w:type="dxa" w:w="2160"/>
          </w:tcPr>
          <w:p>
            <w:r>
              <w:t>小程序+终端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S03</w:t>
            </w:r>
          </w:p>
        </w:tc>
        <w:tc>
          <w:tcPr>
            <w:tcW w:type="dxa" w:w="2160"/>
          </w:tcPr>
          <w:p>
            <w:r>
              <w:t>群聊纯监听收语音</w:t>
            </w:r>
          </w:p>
        </w:tc>
        <w:tc>
          <w:tcPr>
            <w:tcW w:type="dxa" w:w="2160"/>
          </w:tcPr>
          <w:p>
            <w:r>
              <w:t>Web/小程序/终端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S04</w:t>
            </w:r>
          </w:p>
        </w:tc>
        <w:tc>
          <w:tcPr>
            <w:tcW w:type="dxa" w:w="2160"/>
          </w:tcPr>
          <w:p>
            <w:r>
              <w:t>普通位置 vs SOS 位置</w:t>
            </w:r>
          </w:p>
        </w:tc>
        <w:tc>
          <w:tcPr>
            <w:tcW w:type="dxa" w:w="2160"/>
          </w:tcPr>
          <w:p>
            <w:r>
              <w:t>Web/小程序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S05</w:t>
            </w:r>
          </w:p>
        </w:tc>
        <w:tc>
          <w:tcPr>
            <w:tcW w:type="dxa" w:w="2160"/>
          </w:tcPr>
          <w:p>
            <w:r>
              <w:t>SOS 与对讲群并行只计一次</w:t>
            </w:r>
          </w:p>
        </w:tc>
        <w:tc>
          <w:tcPr>
            <w:tcW w:type="dxa" w:w="2160"/>
          </w:tcPr>
          <w:p>
            <w:r>
              <w:t>Web+账本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S06</w:t>
            </w:r>
          </w:p>
        </w:tc>
        <w:tc>
          <w:tcPr>
            <w:tcW w:type="dxa" w:w="2160"/>
          </w:tcPr>
          <w:p>
            <w:r>
              <w:t>计费漏斗冒烟</w:t>
            </w:r>
          </w:p>
        </w:tc>
        <w:tc>
          <w:tcPr>
            <w:tcW w:type="dxa" w:w="2160"/>
          </w:tcPr>
          <w:p>
            <w:r>
              <w:t>套餐/星豆明细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S07</w:t>
            </w:r>
          </w:p>
        </w:tc>
        <w:tc>
          <w:tcPr>
            <w:tcW w:type="dxa" w:w="2160"/>
          </w:tcPr>
          <w:p>
            <w:r>
              <w:t>邀请拒绝退星豆（v2.2）</w:t>
            </w:r>
          </w:p>
        </w:tc>
        <w:tc>
          <w:tcPr>
            <w:tcW w:type="dxa" w:w="2160"/>
          </w:tcPr>
          <w:p>
            <w:r>
              <w:t>小程序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S08</w:t>
            </w:r>
          </w:p>
        </w:tc>
        <w:tc>
          <w:tcPr>
            <w:tcW w:type="dxa" w:w="2160"/>
          </w:tcPr>
          <w:p>
            <w:r>
              <w:t>成员位置地图</w:t>
            </w:r>
          </w:p>
        </w:tc>
        <w:tc>
          <w:tcPr>
            <w:tcW w:type="dxa" w:w="2160"/>
          </w:tcPr>
          <w:p>
            <w:r>
              <w:t>Web/小程序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/>
    <w:p>
      <w:r>
        <w:rPr>
          <w:rFonts w:ascii="微软雅黑" w:hAnsi="微软雅黑" w:eastAsia="微软雅黑"/>
          <w:b/>
          <w:sz w:val="28"/>
        </w:rPr>
        <w:t>三、后续计划：真实设备全流程</w:t>
      </w:r>
    </w:p>
    <w:p>
      <w:r>
        <w:rPr>
          <w:rFonts w:ascii="微软雅黑" w:hAnsi="微软雅黑" w:eastAsia="微软雅黑"/>
          <w:b w:val="0"/>
          <w:sz w:val="22"/>
        </w:rPr>
        <w:t>目标：在真实天通救援棒上复跑核心主路径与封禁/计费边界，确认线上结论可迁移到真机环境；通过后进入放行评估。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真机全链路准备</w:t>
            </w:r>
          </w:p>
        </w:tc>
        <w:tc>
          <w:tcPr>
            <w:tcW w:type="dxa" w:w="2880"/>
          </w:tcPr>
          <w:p>
            <w:r>
              <w:t>企业一级 + 个人账号；≥3 台已激活救援棒；Web + 小程序 + 后台各一端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核心主路径复跑</w:t>
            </w:r>
          </w:p>
        </w:tc>
        <w:tc>
          <w:tcPr>
            <w:tcW w:type="dxa" w:w="2880"/>
          </w:tcPr>
          <w:p>
            <w:r>
              <w:t>建群 → 邀请接受/拒绝退豆 → PTT 语音上下行 → 普通位置 / SOS → 成员地图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计费与封禁实机</w:t>
            </w:r>
          </w:p>
        </w:tc>
        <w:tc>
          <w:tcPr>
            <w:tcW w:type="dxa" w:w="2880"/>
          </w:tcPr>
          <w:p>
            <w:r>
              <w:t>子池耗尽切星豆；企业欠费不断讯；个人分类型封禁；无「我的」耗尽停发（含 SOS）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支付与账本核对</w:t>
            </w:r>
          </w:p>
        </w:tc>
        <w:tc>
          <w:tcPr>
            <w:tcW w:type="dxa" w:w="2880"/>
          </w:tcPr>
          <w:p>
            <w:r>
              <w:t>套餐购买生效；星豆明细与套餐订单隔离；抽查上行不按转发份数计费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结论回写</w:t>
            </w:r>
          </w:p>
        </w:tc>
        <w:tc>
          <w:tcPr>
            <w:tcW w:type="dxa" w:w="2880"/>
          </w:tcPr>
          <w:p>
            <w:r>
              <w:t>真机全流程通过后出具放行建议；若命中上线红线则暂停放行并热修评估</w:t>
            </w:r>
          </w:p>
        </w:tc>
      </w:tr>
    </w:tbl>
    <w:p/>
    <w:p>
      <w:r>
        <w:rPr>
          <w:rFonts w:ascii="微软雅黑" w:hAnsi="微软雅黑" w:eastAsia="微软雅黑"/>
          <w:b/>
          <w:sz w:val="28"/>
        </w:rPr>
        <w:t>摘要</w:t>
      </w:r>
    </w:p>
    <w:p>
      <w:r>
        <w:rPr>
          <w:rFonts w:ascii="微软雅黑" w:hAnsi="微软雅黑" w:eastAsia="微软雅黑"/>
          <w:b w:val="0"/>
          <w:sz w:val="22"/>
        </w:rPr>
        <w:t>星联应急叫应平台 2 期线上回归场景用例已执行完毕并通过，核心流程无阻塞。后续将安排真实设备全流程复验，通过后给出最终放行建议。</w:t>
      </w:r>
    </w:p>
    <w:p>
      <w:r>
        <w:rPr>
          <w:rFonts w:ascii="微软雅黑" w:hAnsi="微软雅黑" w:eastAsia="微软雅黑"/>
          <w:b w:val="0"/>
          <w:sz w:val="18"/>
        </w:rPr>
        <w:t>用例来源：phase2-online-regression · 报告日期：2026-07-23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