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6F6" w:rsidRPr="00D036F6" w:rsidRDefault="00D036F6" w:rsidP="00D036F6">
      <w:pPr>
        <w:shd w:val="clear" w:color="auto" w:fill="D5D5D5"/>
        <w:spacing w:before="100" w:beforeAutospacing="1" w:after="100" w:afterAutospacing="1" w:line="240" w:lineRule="atLeast"/>
        <w:rPr>
          <w:rFonts w:ascii="Arial" w:eastAsia="Times New Roman" w:hAnsi="Arial" w:cs="Arial"/>
          <w:color w:val="000000"/>
          <w:sz w:val="18"/>
          <w:szCs w:val="18"/>
          <w:lang w:val="en" w:eastAsia="es-CR"/>
        </w:rPr>
      </w:pPr>
      <w:r w:rsidRPr="00D036F6">
        <w:rPr>
          <w:rFonts w:ascii="Arial" w:eastAsia="Times New Roman" w:hAnsi="Arial" w:cs="Arial"/>
          <w:noProof/>
          <w:color w:val="000000"/>
          <w:sz w:val="18"/>
          <w:szCs w:val="18"/>
          <w:lang w:val="en" w:eastAsia="es-CR"/>
        </w:rPr>
        <w:drawing>
          <wp:inline distT="0" distB="0" distL="0" distR="0">
            <wp:extent cx="714375" cy="714375"/>
            <wp:effectExtent l="0" t="0" r="9525" b="9525"/>
            <wp:docPr id="8" name="Imagen 8" descr="John Flaig’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ohn Flaig’s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D036F6" w:rsidRPr="00D036F6" w:rsidRDefault="00D036F6" w:rsidP="00D036F6">
      <w:pPr>
        <w:shd w:val="clear" w:color="auto" w:fill="D5D5D5"/>
        <w:spacing w:before="100" w:beforeAutospacing="1" w:after="100" w:afterAutospacing="1" w:line="240" w:lineRule="atLeast"/>
        <w:rPr>
          <w:rFonts w:ascii="Arial" w:eastAsia="Times New Roman" w:hAnsi="Arial" w:cs="Arial"/>
          <w:color w:val="000000"/>
          <w:sz w:val="18"/>
          <w:szCs w:val="18"/>
          <w:lang w:val="en" w:eastAsia="es-CR"/>
        </w:rPr>
      </w:pPr>
      <w:hyperlink r:id="rId5" w:tooltip="John Flaig's Bio" w:history="1">
        <w:r w:rsidRPr="00D036F6">
          <w:rPr>
            <w:rFonts w:ascii="inherit" w:eastAsia="Times New Roman" w:hAnsi="inherit" w:cs="Arial"/>
            <w:color w:val="CC0000"/>
            <w:sz w:val="18"/>
            <w:szCs w:val="18"/>
            <w:lang w:val="en" w:eastAsia="es-CR"/>
          </w:rPr>
          <w:t>Bio</w:t>
        </w:r>
      </w:hyperlink>
    </w:p>
    <w:p w:rsidR="00D036F6" w:rsidRPr="00D036F6" w:rsidRDefault="00D036F6" w:rsidP="00D036F6">
      <w:pPr>
        <w:shd w:val="clear" w:color="auto" w:fill="D5D5D5"/>
        <w:spacing w:after="0" w:line="240" w:lineRule="atLeast"/>
        <w:rPr>
          <w:rFonts w:ascii="Arial" w:eastAsia="Times New Roman" w:hAnsi="Arial" w:cs="Arial"/>
          <w:color w:val="000000"/>
          <w:sz w:val="21"/>
          <w:szCs w:val="21"/>
          <w:lang w:val="en" w:eastAsia="es-CR"/>
        </w:rPr>
      </w:pPr>
      <w:r w:rsidRPr="00D036F6">
        <w:rPr>
          <w:rFonts w:ascii="Arial" w:eastAsia="Times New Roman" w:hAnsi="Arial" w:cs="Arial"/>
          <w:color w:val="000000"/>
          <w:sz w:val="21"/>
          <w:szCs w:val="21"/>
          <w:lang w:val="en" w:eastAsia="es-CR"/>
        </w:rPr>
        <w:t xml:space="preserve">Six Sigma </w:t>
      </w:r>
    </w:p>
    <w:p w:rsidR="00D036F6" w:rsidRPr="00D036F6" w:rsidRDefault="00D036F6" w:rsidP="00D036F6">
      <w:pPr>
        <w:shd w:val="clear" w:color="auto" w:fill="D5D5D5"/>
        <w:spacing w:after="225" w:line="450" w:lineRule="atLeast"/>
        <w:ind w:right="150"/>
        <w:outlineLvl w:val="2"/>
        <w:rPr>
          <w:rFonts w:ascii="Georgia" w:eastAsia="Times New Roman" w:hAnsi="Georgia" w:cs="Arial"/>
          <w:color w:val="006699"/>
          <w:sz w:val="36"/>
          <w:szCs w:val="36"/>
          <w:lang w:val="en" w:eastAsia="es-CR"/>
        </w:rPr>
      </w:pPr>
      <w:bookmarkStart w:id="0" w:name="_GoBack"/>
      <w:r w:rsidRPr="00D036F6">
        <w:rPr>
          <w:rFonts w:ascii="Georgia" w:eastAsia="Times New Roman" w:hAnsi="Georgia" w:cs="Arial"/>
          <w:color w:val="006699"/>
          <w:sz w:val="36"/>
          <w:szCs w:val="36"/>
          <w:lang w:val="en" w:eastAsia="es-CR"/>
        </w:rPr>
        <w:t xml:space="preserve">A Bell-Shaped Distribution Does Not Imply Only Common Cause Variation </w:t>
      </w:r>
    </w:p>
    <w:bookmarkEnd w:id="0"/>
    <w:p w:rsid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p>
    <w:p w:rsid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Pr>
          <w:rFonts w:ascii="Georgia" w:eastAsia="Times New Roman" w:hAnsi="Georgia" w:cs="Arial"/>
          <w:color w:val="000000"/>
          <w:sz w:val="21"/>
          <w:szCs w:val="21"/>
          <w:lang w:val="en" w:eastAsia="es-CR"/>
        </w:rPr>
        <w:t>S</w:t>
      </w:r>
      <w:r w:rsidRPr="00D036F6">
        <w:rPr>
          <w:rFonts w:ascii="Georgia" w:eastAsia="Times New Roman" w:hAnsi="Georgia" w:cs="Arial"/>
          <w:color w:val="000000"/>
          <w:sz w:val="21"/>
          <w:szCs w:val="21"/>
          <w:lang w:val="en" w:eastAsia="es-CR"/>
        </w:rPr>
        <w:t>ome practitioners think that if data from a process have a “bell-shaped” histogram, then the system is experiencing only common cause variation (i.e., random variation). This is incorrect and reflects a fundamental misunderstanding about the relationship between distribution shape and the variation in a system. However, even knowledgeable people sometime make this mistake.</w:t>
      </w:r>
    </w:p>
    <w:tbl>
      <w:tblPr>
        <w:tblW w:w="0" w:type="auto"/>
        <w:tblCellMar>
          <w:left w:w="0" w:type="dxa"/>
          <w:right w:w="0" w:type="dxa"/>
        </w:tblCellMar>
        <w:tblLook w:val="04A0" w:firstRow="1" w:lastRow="0" w:firstColumn="1" w:lastColumn="0" w:noHBand="0" w:noVBand="1"/>
      </w:tblPr>
      <w:tblGrid>
        <w:gridCol w:w="156"/>
      </w:tblGrid>
      <w:tr w:rsidR="00D036F6" w:rsidRPr="00D036F6" w:rsidTr="00D036F6">
        <w:tc>
          <w:tcPr>
            <w:tcW w:w="0" w:type="auto"/>
            <w:tcMar>
              <w:top w:w="75" w:type="dxa"/>
              <w:left w:w="75" w:type="dxa"/>
              <w:bottom w:w="75" w:type="dxa"/>
              <w:right w:w="75" w:type="dxa"/>
            </w:tcMar>
            <w:vAlign w:val="center"/>
          </w:tcPr>
          <w:p w:rsidR="00D036F6" w:rsidRPr="00D036F6" w:rsidRDefault="00D036F6" w:rsidP="00D036F6">
            <w:pPr>
              <w:spacing w:after="0" w:line="360" w:lineRule="atLeast"/>
              <w:rPr>
                <w:rFonts w:ascii="Georgia" w:eastAsia="Times New Roman" w:hAnsi="Georgia" w:cs="Arial"/>
                <w:color w:val="000000"/>
                <w:sz w:val="21"/>
                <w:szCs w:val="21"/>
                <w:lang w:eastAsia="es-CR"/>
              </w:rPr>
            </w:pPr>
          </w:p>
        </w:tc>
      </w:tr>
    </w:tbl>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For example, paraphrasing from a popular Six Sigma textbook, when most values fall in the middle and tail off in either direction, we have statistical evidence of common cause variation.</w:t>
      </w:r>
      <w:r w:rsidRPr="00D036F6">
        <w:rPr>
          <w:rFonts w:ascii="Verdana" w:eastAsia="Times New Roman" w:hAnsi="Verdana" w:cs="Arial"/>
          <w:color w:val="000000"/>
          <w:sz w:val="14"/>
          <w:szCs w:val="14"/>
          <w:vertAlign w:val="superscript"/>
          <w:lang w:val="en" w:eastAsia="es-CR"/>
        </w:rPr>
        <w:t>1,2</w:t>
      </w:r>
      <w:r w:rsidRPr="00D036F6">
        <w:rPr>
          <w:rFonts w:ascii="Georgia" w:eastAsia="Times New Roman" w:hAnsi="Georgia" w:cs="Arial"/>
          <w:color w:val="000000"/>
          <w:sz w:val="21"/>
          <w:szCs w:val="21"/>
          <w:lang w:val="en" w:eastAsia="es-CR"/>
        </w:rPr>
        <w:t xml:space="preserve"> This is an invalid statement, and the misunderstanding probably stems from the fact that if we were sampling means from a stable process, the central limit theorem would assure us that the distribution of sample means would be approximately normally distributed. However, even though the histogram of the subgroup means is bell-shaped, the process itself may still be non-normal or be experiencing special or systematic causes of variation (i.e., it may be out-of-control). To determine the correct status of the process, we must look at the control chart of the individual observations, not the distribution of subgroup means.</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 xml:space="preserve">The fact that a “normal” distribution shape does not imply process stability is known as the </w:t>
      </w:r>
      <w:proofErr w:type="spellStart"/>
      <w:r w:rsidRPr="00D036F6">
        <w:rPr>
          <w:rFonts w:ascii="Georgia" w:eastAsia="Times New Roman" w:hAnsi="Georgia" w:cs="Arial"/>
          <w:color w:val="000000"/>
          <w:sz w:val="21"/>
          <w:szCs w:val="21"/>
          <w:lang w:val="en" w:eastAsia="es-CR"/>
        </w:rPr>
        <w:t>Quetelet</w:t>
      </w:r>
      <w:proofErr w:type="spellEnd"/>
      <w:r w:rsidRPr="00D036F6">
        <w:rPr>
          <w:rFonts w:ascii="Georgia" w:eastAsia="Times New Roman" w:hAnsi="Georgia" w:cs="Arial"/>
          <w:color w:val="000000"/>
          <w:sz w:val="21"/>
          <w:szCs w:val="21"/>
          <w:lang w:val="en" w:eastAsia="es-CR"/>
        </w:rPr>
        <w:t xml:space="preserve"> Fallacy and is documented in </w:t>
      </w:r>
      <w:r w:rsidRPr="00D036F6">
        <w:rPr>
          <w:rFonts w:ascii="Georgia" w:eastAsia="Times New Roman" w:hAnsi="Georgia" w:cs="Arial"/>
          <w:i/>
          <w:iCs/>
          <w:color w:val="000000"/>
          <w:sz w:val="21"/>
          <w:szCs w:val="21"/>
          <w:lang w:val="en" w:eastAsia="es-CR"/>
        </w:rPr>
        <w:t>The History of Statistics.</w:t>
      </w:r>
      <w:r w:rsidRPr="00D036F6">
        <w:rPr>
          <w:rFonts w:ascii="Verdana" w:eastAsia="Times New Roman" w:hAnsi="Verdana" w:cs="Arial"/>
          <w:color w:val="000000"/>
          <w:sz w:val="14"/>
          <w:szCs w:val="14"/>
          <w:vertAlign w:val="superscript"/>
          <w:lang w:val="en" w:eastAsia="es-CR"/>
        </w:rPr>
        <w:t>3</w:t>
      </w:r>
      <w:r w:rsidRPr="00D036F6">
        <w:rPr>
          <w:rFonts w:ascii="Georgia" w:eastAsia="Times New Roman" w:hAnsi="Georgia" w:cs="Arial"/>
          <w:color w:val="000000"/>
          <w:sz w:val="21"/>
          <w:szCs w:val="21"/>
          <w:lang w:val="en" w:eastAsia="es-CR"/>
        </w:rPr>
        <w:t xml:space="preserve"> You may be surprised to learn that many educated people, including statisticians and engineers, have no knowledge of the fallacy or believe it to be true, and that the belief in the fallacy has a long history. The first </w:t>
      </w:r>
      <w:r w:rsidRPr="00D036F6">
        <w:rPr>
          <w:rFonts w:ascii="Georgia" w:eastAsia="Times New Roman" w:hAnsi="Georgia" w:cs="Arial"/>
          <w:color w:val="000000"/>
          <w:sz w:val="21"/>
          <w:szCs w:val="21"/>
          <w:lang w:val="en" w:eastAsia="es-CR"/>
        </w:rPr>
        <w:lastRenderedPageBreak/>
        <w:t xml:space="preserve">documented example that it is false was given in Sir Frances Galton’s famous sweet pea experiment of 1875 that exposed the </w:t>
      </w:r>
      <w:proofErr w:type="spellStart"/>
      <w:r w:rsidRPr="00D036F6">
        <w:rPr>
          <w:rFonts w:ascii="Georgia" w:eastAsia="Times New Roman" w:hAnsi="Georgia" w:cs="Arial"/>
          <w:color w:val="000000"/>
          <w:sz w:val="21"/>
          <w:szCs w:val="21"/>
          <w:lang w:val="en" w:eastAsia="es-CR"/>
        </w:rPr>
        <w:t>Quetelet</w:t>
      </w:r>
      <w:proofErr w:type="spellEnd"/>
      <w:r w:rsidRPr="00D036F6">
        <w:rPr>
          <w:rFonts w:ascii="Georgia" w:eastAsia="Times New Roman" w:hAnsi="Georgia" w:cs="Arial"/>
          <w:color w:val="000000"/>
          <w:sz w:val="21"/>
          <w:szCs w:val="21"/>
          <w:lang w:val="en" w:eastAsia="es-CR"/>
        </w:rPr>
        <w:t xml:space="preserve"> conjecture as false.</w:t>
      </w:r>
      <w:r w:rsidRPr="00D036F6">
        <w:rPr>
          <w:rFonts w:ascii="Verdana" w:eastAsia="Times New Roman" w:hAnsi="Verdana" w:cs="Arial"/>
          <w:color w:val="000000"/>
          <w:sz w:val="14"/>
          <w:szCs w:val="14"/>
          <w:vertAlign w:val="superscript"/>
          <w:lang w:val="en" w:eastAsia="es-CR"/>
        </w:rPr>
        <w:t>4</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A proof is given below for the argument that a normal or bell-shaped histogram does not imply that the system is experiencing only common cause variation, and conversely a system experiencing only common cause variation will not necessarily have a normal distribution of observations.</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b/>
          <w:bCs/>
          <w:color w:val="000000"/>
          <w:sz w:val="21"/>
          <w:szCs w:val="21"/>
          <w:lang w:val="en" w:eastAsia="es-CR"/>
        </w:rPr>
        <w:t>Theorem:</w:t>
      </w:r>
      <w:r w:rsidRPr="00D036F6">
        <w:rPr>
          <w:rFonts w:ascii="Georgia" w:eastAsia="Times New Roman" w:hAnsi="Georgia" w:cs="Arial"/>
          <w:color w:val="000000"/>
          <w:sz w:val="21"/>
          <w:szCs w:val="21"/>
          <w:lang w:val="en" w:eastAsia="es-CR"/>
        </w:rPr>
        <w:t xml:space="preserve"> Normal does not imply Random, and Random does not imply Normal</w:t>
      </w:r>
      <w:r w:rsidRPr="00D036F6">
        <w:rPr>
          <w:rFonts w:ascii="Georgia" w:eastAsia="Times New Roman" w:hAnsi="Georgia" w:cs="Arial"/>
          <w:color w:val="000000"/>
          <w:sz w:val="21"/>
          <w:szCs w:val="21"/>
          <w:lang w:val="en" w:eastAsia="es-CR"/>
        </w:rPr>
        <w:br/>
      </w:r>
      <w:r w:rsidRPr="00D036F6">
        <w:rPr>
          <w:rFonts w:ascii="Georgia" w:eastAsia="Times New Roman" w:hAnsi="Georgia" w:cs="Arial"/>
          <w:b/>
          <w:bCs/>
          <w:color w:val="000000"/>
          <w:sz w:val="21"/>
          <w:szCs w:val="21"/>
          <w:lang w:val="en" w:eastAsia="es-CR"/>
        </w:rPr>
        <w:t>Proof:</w:t>
      </w:r>
      <w:r w:rsidRPr="00D036F6">
        <w:rPr>
          <w:rFonts w:ascii="Georgia" w:eastAsia="Times New Roman" w:hAnsi="Georgia" w:cs="Arial"/>
          <w:color w:val="000000"/>
          <w:sz w:val="21"/>
          <w:szCs w:val="21"/>
          <w:lang w:val="en" w:eastAsia="es-CR"/>
        </w:rPr>
        <w:br/>
        <w:t>Part 1. The proof that “Random does not imply Normal” is obvious because you can generate random (i.e., common cause) distributions that are uniform, triangular, Weibull, Poisson, Cauchy, etc., and yes, even Normal (see JMP or Minitab for examples). Also, Walter A. Shewhart’s figure 9 in his 1931 book, </w:t>
      </w:r>
      <w:r w:rsidRPr="00D036F6">
        <w:rPr>
          <w:rFonts w:ascii="Georgia" w:eastAsia="Times New Roman" w:hAnsi="Georgia" w:cs="Arial"/>
          <w:i/>
          <w:iCs/>
          <w:color w:val="000000"/>
          <w:sz w:val="21"/>
          <w:szCs w:val="21"/>
          <w:lang w:val="en" w:eastAsia="es-CR"/>
        </w:rPr>
        <w:t>Economic Control of Quality of Manufactured Product</w:t>
      </w:r>
      <w:r w:rsidRPr="00D036F6">
        <w:rPr>
          <w:rFonts w:ascii="Georgia" w:eastAsia="Times New Roman" w:hAnsi="Georgia" w:cs="Arial"/>
          <w:color w:val="000000"/>
          <w:sz w:val="21"/>
          <w:szCs w:val="21"/>
          <w:lang w:val="en" w:eastAsia="es-CR"/>
        </w:rPr>
        <w:t xml:space="preserve">, contains an example. It is the histogram of the modulus of rupture for </w:t>
      </w:r>
      <w:proofErr w:type="spellStart"/>
      <w:r w:rsidRPr="00D036F6">
        <w:rPr>
          <w:rFonts w:ascii="Georgia" w:eastAsia="Times New Roman" w:hAnsi="Georgia" w:cs="Arial"/>
          <w:color w:val="000000"/>
          <w:sz w:val="21"/>
          <w:szCs w:val="21"/>
          <w:lang w:val="en" w:eastAsia="es-CR"/>
        </w:rPr>
        <w:t>sitka</w:t>
      </w:r>
      <w:proofErr w:type="spellEnd"/>
      <w:r w:rsidRPr="00D036F6">
        <w:rPr>
          <w:rFonts w:ascii="Georgia" w:eastAsia="Times New Roman" w:hAnsi="Georgia" w:cs="Arial"/>
          <w:color w:val="000000"/>
          <w:sz w:val="21"/>
          <w:szCs w:val="21"/>
          <w:lang w:val="en" w:eastAsia="es-CR"/>
        </w:rPr>
        <w:t xml:space="preserve"> spruce trees. The histogram is skewed, but Shewhart observes that it is at least approximately in a state of statistical control.</w:t>
      </w:r>
      <w:r w:rsidRPr="00D036F6">
        <w:rPr>
          <w:rFonts w:ascii="Verdana" w:eastAsia="Times New Roman" w:hAnsi="Verdana" w:cs="Arial"/>
          <w:color w:val="000000"/>
          <w:sz w:val="14"/>
          <w:szCs w:val="14"/>
          <w:vertAlign w:val="superscript"/>
          <w:lang w:val="en" w:eastAsia="es-CR"/>
        </w:rPr>
        <w:t>5</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Part 2. The proof that “Normal does not imply Random” is false is illustrated by a counter example given below. In this example the histogram is bell-shaped, but the system is experiencing both special cause (in this case systematic) variation and common cause (i.e., random) variation. In the graph the slope of the polynomial trend line characterizes special cause (systematic) variation, and common cause (random) variation is characterized by the spread of the points about the trend line.</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b/>
          <w:bCs/>
          <w:color w:val="000000"/>
          <w:sz w:val="21"/>
          <w:szCs w:val="21"/>
          <w:lang w:val="en" w:eastAsia="es-CR"/>
        </w:rPr>
        <w:t xml:space="preserve">Example: </w:t>
      </w:r>
      <w:r w:rsidRPr="00D036F6">
        <w:rPr>
          <w:rFonts w:ascii="Georgia" w:eastAsia="Times New Roman" w:hAnsi="Georgia" w:cs="Arial"/>
          <w:color w:val="000000"/>
          <w:sz w:val="21"/>
          <w:szCs w:val="21"/>
          <w:lang w:val="en" w:eastAsia="es-CR"/>
        </w:rPr>
        <w:br/>
      </w:r>
      <w:r w:rsidRPr="00D036F6">
        <w:rPr>
          <w:rFonts w:ascii="Georgia" w:eastAsia="Times New Roman" w:hAnsi="Georgia" w:cs="Arial"/>
          <w:b/>
          <w:bCs/>
          <w:color w:val="000000"/>
          <w:sz w:val="21"/>
          <w:szCs w:val="21"/>
          <w:lang w:val="en" w:eastAsia="es-CR"/>
        </w:rPr>
        <w:t xml:space="preserve">Clothing sales data </w:t>
      </w:r>
      <w:r w:rsidRPr="00D036F6">
        <w:rPr>
          <w:rFonts w:ascii="Georgia" w:eastAsia="Times New Roman" w:hAnsi="Georgia" w:cs="Arial"/>
          <w:color w:val="000000"/>
          <w:sz w:val="21"/>
          <w:szCs w:val="21"/>
          <w:lang w:val="en" w:eastAsia="es-CR"/>
        </w:rPr>
        <w:t>for spring, summer, and fall (× 1,000 units)</w:t>
      </w:r>
      <w:r w:rsidRPr="00D036F6">
        <w:rPr>
          <w:rFonts w:ascii="Georgia" w:eastAsia="Times New Roman" w:hAnsi="Georgia" w:cs="Arial"/>
          <w:color w:val="000000"/>
          <w:sz w:val="21"/>
          <w:szCs w:val="21"/>
          <w:lang w:val="en" w:eastAsia="es-CR"/>
        </w:rPr>
        <w:br/>
        <w:t>{1, 2, 3, 3, 4, 4, 4, 5, 5, 5, 5, 5, 6, 6, 6, 7, 7, 8, 9}</w:t>
      </w:r>
      <w:r w:rsidRPr="00D036F6">
        <w:rPr>
          <w:rFonts w:ascii="Georgia" w:eastAsia="Times New Roman" w:hAnsi="Georgia" w:cs="Arial"/>
          <w:color w:val="000000"/>
          <w:sz w:val="21"/>
          <w:szCs w:val="21"/>
          <w:lang w:val="en" w:eastAsia="es-CR"/>
        </w:rPr>
        <w:br/>
      </w:r>
      <w:r w:rsidRPr="00D036F6">
        <w:rPr>
          <w:rFonts w:ascii="Georgia" w:eastAsia="Times New Roman" w:hAnsi="Georgia" w:cs="Arial"/>
          <w:b/>
          <w:bCs/>
          <w:color w:val="000000"/>
          <w:sz w:val="21"/>
          <w:szCs w:val="21"/>
          <w:lang w:val="en" w:eastAsia="es-CR"/>
        </w:rPr>
        <w:t xml:space="preserve">Period 1: </w:t>
      </w:r>
      <w:r w:rsidRPr="00D036F6">
        <w:rPr>
          <w:rFonts w:ascii="Georgia" w:eastAsia="Times New Roman" w:hAnsi="Georgia" w:cs="Arial"/>
          <w:color w:val="000000"/>
          <w:sz w:val="21"/>
          <w:szCs w:val="21"/>
          <w:lang w:val="en" w:eastAsia="es-CR"/>
        </w:rPr>
        <w:t xml:space="preserve">May, June (six weeks, new marketing dialog) </w:t>
      </w:r>
      <w:r w:rsidRPr="00D036F6">
        <w:rPr>
          <w:rFonts w:ascii="Georgia" w:eastAsia="Times New Roman" w:hAnsi="Georgia" w:cs="Arial"/>
          <w:color w:val="000000"/>
          <w:sz w:val="21"/>
          <w:szCs w:val="21"/>
          <w:lang w:val="en" w:eastAsia="es-CR"/>
        </w:rPr>
        <w:br/>
      </w:r>
      <w:r w:rsidRPr="00D036F6">
        <w:rPr>
          <w:rFonts w:ascii="Georgia" w:eastAsia="Times New Roman" w:hAnsi="Georgia" w:cs="Arial"/>
          <w:b/>
          <w:bCs/>
          <w:color w:val="000000"/>
          <w:sz w:val="21"/>
          <w:szCs w:val="21"/>
          <w:lang w:val="en" w:eastAsia="es-CR"/>
        </w:rPr>
        <w:t xml:space="preserve">Period 2: </w:t>
      </w:r>
      <w:r w:rsidRPr="00D036F6">
        <w:rPr>
          <w:rFonts w:ascii="Georgia" w:eastAsia="Times New Roman" w:hAnsi="Georgia" w:cs="Arial"/>
          <w:color w:val="000000"/>
          <w:sz w:val="21"/>
          <w:szCs w:val="21"/>
          <w:lang w:val="en" w:eastAsia="es-CR"/>
        </w:rPr>
        <w:t xml:space="preserve">July, August (seven weeks, old marketing dialog) </w:t>
      </w:r>
      <w:r w:rsidRPr="00D036F6">
        <w:rPr>
          <w:rFonts w:ascii="Georgia" w:eastAsia="Times New Roman" w:hAnsi="Georgia" w:cs="Arial"/>
          <w:color w:val="000000"/>
          <w:sz w:val="21"/>
          <w:szCs w:val="21"/>
          <w:lang w:val="en" w:eastAsia="es-CR"/>
        </w:rPr>
        <w:br/>
      </w:r>
      <w:r w:rsidRPr="00D036F6">
        <w:rPr>
          <w:rFonts w:ascii="Georgia" w:eastAsia="Times New Roman" w:hAnsi="Georgia" w:cs="Arial"/>
          <w:b/>
          <w:bCs/>
          <w:color w:val="000000"/>
          <w:sz w:val="21"/>
          <w:szCs w:val="21"/>
          <w:lang w:val="en" w:eastAsia="es-CR"/>
        </w:rPr>
        <w:t xml:space="preserve">Period 3: </w:t>
      </w:r>
      <w:r w:rsidRPr="00D036F6">
        <w:rPr>
          <w:rFonts w:ascii="Georgia" w:eastAsia="Times New Roman" w:hAnsi="Georgia" w:cs="Arial"/>
          <w:color w:val="000000"/>
          <w:sz w:val="21"/>
          <w:szCs w:val="21"/>
          <w:lang w:val="en" w:eastAsia="es-CR"/>
        </w:rPr>
        <w:t>September, October (six weeks, new marketing dialog)</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noProof/>
          <w:color w:val="000000"/>
          <w:sz w:val="21"/>
          <w:szCs w:val="21"/>
          <w:lang w:val="en" w:eastAsia="es-CR"/>
        </w:rPr>
        <w:lastRenderedPageBreak/>
        <w:drawing>
          <wp:inline distT="0" distB="0" distL="0" distR="0">
            <wp:extent cx="4953000" cy="2847975"/>
            <wp:effectExtent l="0" t="0" r="0" b="9525"/>
            <wp:docPr id="6" name="Imagen 6" descr="https://www.qualitydigest.com/IQedit/Images/Articles_and_Columns/2017/08_Aug-2017/Flaig/working_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qualitydigest.com/IQedit/Images/Articles_and_Columns/2017/08_Aug-2017/Flaig/working_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847975"/>
                    </a:xfrm>
                    <a:prstGeom prst="rect">
                      <a:avLst/>
                    </a:prstGeom>
                    <a:noFill/>
                    <a:ln>
                      <a:noFill/>
                    </a:ln>
                  </pic:spPr>
                </pic:pic>
              </a:graphicData>
            </a:graphic>
          </wp:inline>
        </w:drawing>
      </w:r>
      <w:r w:rsidRPr="00D036F6">
        <w:rPr>
          <w:rFonts w:ascii="Georgia" w:eastAsia="Times New Roman" w:hAnsi="Georgia" w:cs="Arial"/>
          <w:color w:val="000000"/>
          <w:sz w:val="21"/>
          <w:szCs w:val="21"/>
          <w:lang w:val="en" w:eastAsia="es-CR"/>
        </w:rPr>
        <w:br/>
        <w:t>Histogram of the sales data</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The graph of the sales over time shows the effect of the marketing programs in the spring and fall. This change in performance was caused by systematic changes in the process (i.e., the marketing initiatives) and not just random variation.</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noProof/>
          <w:color w:val="000000"/>
          <w:sz w:val="21"/>
          <w:szCs w:val="21"/>
          <w:lang w:val="en" w:eastAsia="es-CR"/>
        </w:rPr>
        <w:drawing>
          <wp:inline distT="0" distB="0" distL="0" distR="0">
            <wp:extent cx="4600575" cy="2771775"/>
            <wp:effectExtent l="0" t="0" r="9525" b="9525"/>
            <wp:docPr id="5" name="Imagen 5" descr="https://www.qualitydigest.com/IQedit/Images/Articles_and_Columns/2017/08_Aug-2017/Flaig/working_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qualitydigest.com/IQedit/Images/Articles_and_Columns/2017/08_Aug-2017/Flaig/working_clip_image0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r w:rsidRPr="00D036F6">
        <w:rPr>
          <w:rFonts w:ascii="Georgia" w:eastAsia="Times New Roman" w:hAnsi="Georgia" w:cs="Arial"/>
          <w:color w:val="000000"/>
          <w:sz w:val="21"/>
          <w:szCs w:val="21"/>
          <w:lang w:val="en" w:eastAsia="es-CR"/>
        </w:rPr>
        <w:br/>
        <w:t>Plot of sales performance over time</w:t>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color w:val="000000"/>
          <w:sz w:val="21"/>
          <w:szCs w:val="21"/>
          <w:lang w:val="en" w:eastAsia="es-CR"/>
        </w:rPr>
        <w:t>Irrespective of the shape of the distribution, a good way to arrive at the correct conclusion regarding process stability is by looking at a control chart of the behavior of the individual observations from the process, or for highly skewed distributions, by using the F* test</w:t>
      </w:r>
      <w:r w:rsidRPr="00D036F6">
        <w:rPr>
          <w:rFonts w:ascii="Verdana" w:eastAsia="Times New Roman" w:hAnsi="Verdana" w:cs="Arial"/>
          <w:color w:val="000000"/>
          <w:sz w:val="14"/>
          <w:szCs w:val="14"/>
          <w:vertAlign w:val="superscript"/>
          <w:lang w:val="en" w:eastAsia="es-CR"/>
        </w:rPr>
        <w:t>6</w:t>
      </w:r>
      <w:r w:rsidRPr="00D036F6">
        <w:rPr>
          <w:rFonts w:ascii="Georgia" w:eastAsia="Times New Roman" w:hAnsi="Georgia" w:cs="Arial"/>
          <w:color w:val="000000"/>
          <w:sz w:val="21"/>
          <w:szCs w:val="21"/>
          <w:lang w:val="en" w:eastAsia="es-CR"/>
        </w:rPr>
        <w:t xml:space="preserve"> [</w:t>
      </w:r>
      <w:proofErr w:type="spellStart"/>
      <w:r w:rsidRPr="00D036F6">
        <w:rPr>
          <w:rFonts w:ascii="Georgia" w:eastAsia="Times New Roman" w:hAnsi="Georgia" w:cs="Arial"/>
          <w:color w:val="000000"/>
          <w:sz w:val="21"/>
          <w:szCs w:val="21"/>
          <w:lang w:val="en" w:eastAsia="es-CR"/>
        </w:rPr>
        <w:t>Cruthis</w:t>
      </w:r>
      <w:proofErr w:type="spellEnd"/>
      <w:r w:rsidRPr="00D036F6">
        <w:rPr>
          <w:rFonts w:ascii="Georgia" w:eastAsia="Times New Roman" w:hAnsi="Georgia" w:cs="Arial"/>
          <w:color w:val="000000"/>
          <w:sz w:val="21"/>
          <w:szCs w:val="21"/>
          <w:lang w:val="en" w:eastAsia="es-CR"/>
        </w:rPr>
        <w:t>, 1993] or the Dixon and Massey z-test</w:t>
      </w:r>
      <w:r w:rsidRPr="00D036F6">
        <w:rPr>
          <w:rFonts w:ascii="Verdana" w:eastAsia="Times New Roman" w:hAnsi="Verdana" w:cs="Arial"/>
          <w:color w:val="000000"/>
          <w:sz w:val="14"/>
          <w:szCs w:val="14"/>
          <w:vertAlign w:val="superscript"/>
          <w:lang w:val="en" w:eastAsia="es-CR"/>
        </w:rPr>
        <w:t>7</w:t>
      </w:r>
      <w:r w:rsidRPr="00D036F6">
        <w:rPr>
          <w:rFonts w:ascii="Georgia" w:eastAsia="Times New Roman" w:hAnsi="Georgia" w:cs="Arial"/>
          <w:color w:val="000000"/>
          <w:sz w:val="21"/>
          <w:szCs w:val="21"/>
          <w:lang w:val="en" w:eastAsia="es-CR"/>
        </w:rPr>
        <w:t xml:space="preserve"> where z ~ </w:t>
      </w:r>
      <w:proofErr w:type="gramStart"/>
      <w:r w:rsidRPr="00D036F6">
        <w:rPr>
          <w:rFonts w:ascii="Georgia" w:eastAsia="Times New Roman" w:hAnsi="Georgia" w:cs="Arial"/>
          <w:color w:val="000000"/>
          <w:sz w:val="21"/>
          <w:szCs w:val="21"/>
          <w:lang w:val="en" w:eastAsia="es-CR"/>
        </w:rPr>
        <w:t>N(</w:t>
      </w:r>
      <w:proofErr w:type="gramEnd"/>
      <w:r w:rsidRPr="00D036F6">
        <w:rPr>
          <w:rFonts w:ascii="Georgia" w:eastAsia="Times New Roman" w:hAnsi="Georgia" w:cs="Arial"/>
          <w:color w:val="000000"/>
          <w:sz w:val="21"/>
          <w:szCs w:val="21"/>
          <w:lang w:val="en" w:eastAsia="es-CR"/>
        </w:rPr>
        <w:t>0, 1) and is given by:</w:t>
      </w:r>
      <w:r w:rsidRPr="00D036F6">
        <w:rPr>
          <w:rFonts w:ascii="Georgia" w:eastAsia="Times New Roman" w:hAnsi="Georgia" w:cs="Arial"/>
          <w:color w:val="000000"/>
          <w:sz w:val="21"/>
          <w:szCs w:val="21"/>
          <w:lang w:val="en" w:eastAsia="es-CR"/>
        </w:rPr>
        <w:br/>
      </w:r>
      <w:r w:rsidRPr="00D036F6">
        <w:rPr>
          <w:rFonts w:ascii="Georgia" w:eastAsia="Times New Roman" w:hAnsi="Georgia" w:cs="Arial"/>
          <w:noProof/>
          <w:color w:val="000000"/>
          <w:sz w:val="21"/>
          <w:szCs w:val="21"/>
          <w:lang w:val="en" w:eastAsia="es-CR"/>
        </w:rPr>
        <w:lastRenderedPageBreak/>
        <w:drawing>
          <wp:inline distT="0" distB="0" distL="0" distR="0">
            <wp:extent cx="1419225" cy="1076325"/>
            <wp:effectExtent l="0" t="0" r="9525" b="9525"/>
            <wp:docPr id="4" name="Imagen 4" descr="https://www.qualitydigest.com/IQedit/Images/Articles_and_Columns/2017/08_Aug-2017/Flaig/working_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qualitydigest.com/IQedit/Images/Articles_and_Columns/2017/08_Aug-2017/Flaig/working_clip_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076325"/>
                    </a:xfrm>
                    <a:prstGeom prst="rect">
                      <a:avLst/>
                    </a:prstGeom>
                    <a:noFill/>
                    <a:ln>
                      <a:noFill/>
                    </a:ln>
                  </pic:spPr>
                </pic:pic>
              </a:graphicData>
            </a:graphic>
          </wp:inline>
        </w:drawing>
      </w:r>
      <w:r w:rsidRPr="00D036F6">
        <w:rPr>
          <w:rFonts w:ascii="Georgia" w:eastAsia="Times New Roman" w:hAnsi="Georgia" w:cs="Arial"/>
          <w:color w:val="000000"/>
          <w:sz w:val="21"/>
          <w:szCs w:val="21"/>
          <w:lang w:val="en" w:eastAsia="es-CR"/>
        </w:rPr>
        <w:br/>
      </w:r>
      <w:r w:rsidRPr="00D036F6">
        <w:rPr>
          <w:rFonts w:ascii="Georgia" w:eastAsia="Times New Roman" w:hAnsi="Georgia" w:cs="Arial"/>
          <w:noProof/>
          <w:color w:val="000000"/>
          <w:sz w:val="21"/>
          <w:szCs w:val="21"/>
          <w:lang w:val="en" w:eastAsia="es-CR"/>
        </w:rPr>
        <w:drawing>
          <wp:inline distT="0" distB="0" distL="0" distR="0">
            <wp:extent cx="2105025" cy="714375"/>
            <wp:effectExtent l="0" t="0" r="9525" b="9525"/>
            <wp:docPr id="3" name="Imagen 3" descr="https://www.qualitydigest.com/IQedit/Images/Articles_and_Columns/2017/08_Aug-2017/Flaig/working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qualitydigest.com/IQedit/Images/Articles_and_Columns/2017/08_Aug-2017/Flaig/working_clip_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714375"/>
                    </a:xfrm>
                    <a:prstGeom prst="rect">
                      <a:avLst/>
                    </a:prstGeom>
                    <a:noFill/>
                    <a:ln>
                      <a:noFill/>
                    </a:ln>
                  </pic:spPr>
                </pic:pic>
              </a:graphicData>
            </a:graphic>
          </wp:inline>
        </w:drawing>
      </w:r>
      <w:r w:rsidRPr="00D036F6">
        <w:rPr>
          <w:rFonts w:ascii="Georgia" w:eastAsia="Times New Roman" w:hAnsi="Georgia" w:cs="Arial"/>
          <w:color w:val="000000"/>
          <w:sz w:val="21"/>
          <w:szCs w:val="21"/>
          <w:lang w:val="en" w:eastAsia="es-CR"/>
        </w:rPr>
        <w:br/>
      </w:r>
      <w:r w:rsidRPr="00D036F6">
        <w:rPr>
          <w:rFonts w:ascii="Georgia" w:eastAsia="Times New Roman" w:hAnsi="Georgia" w:cs="Arial"/>
          <w:noProof/>
          <w:color w:val="000000"/>
          <w:sz w:val="21"/>
          <w:szCs w:val="21"/>
          <w:lang w:val="en" w:eastAsia="es-CR"/>
        </w:rPr>
        <w:drawing>
          <wp:inline distT="0" distB="0" distL="0" distR="0">
            <wp:extent cx="2219325" cy="590550"/>
            <wp:effectExtent l="0" t="0" r="9525" b="0"/>
            <wp:docPr id="2" name="Imagen 2" descr="https://www.qualitydigest.com/IQedit/Images/Articles_and_Columns/2017/08_Aug-2017/Flaig/working_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qualitydigest.com/IQedit/Images/Articles_and_Columns/2017/08_Aug-2017/Flaig/working_clip_image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590550"/>
                    </a:xfrm>
                    <a:prstGeom prst="rect">
                      <a:avLst/>
                    </a:prstGeom>
                    <a:noFill/>
                    <a:ln>
                      <a:noFill/>
                    </a:ln>
                  </pic:spPr>
                </pic:pic>
              </a:graphicData>
            </a:graphic>
          </wp:inline>
        </w:drawing>
      </w:r>
      <w:r w:rsidRPr="00D036F6">
        <w:rPr>
          <w:rFonts w:ascii="Georgia" w:eastAsia="Times New Roman" w:hAnsi="Georgia" w:cs="Arial"/>
          <w:color w:val="000000"/>
          <w:sz w:val="21"/>
          <w:szCs w:val="21"/>
          <w:lang w:val="en" w:eastAsia="es-CR"/>
        </w:rPr>
        <w:br/>
      </w:r>
      <w:r w:rsidRPr="00D036F6">
        <w:rPr>
          <w:rFonts w:ascii="Georgia" w:eastAsia="Times New Roman" w:hAnsi="Georgia" w:cs="Arial"/>
          <w:noProof/>
          <w:color w:val="000000"/>
          <w:sz w:val="21"/>
          <w:szCs w:val="21"/>
          <w:lang w:val="en" w:eastAsia="es-CR"/>
        </w:rPr>
        <w:drawing>
          <wp:inline distT="0" distB="0" distL="0" distR="0">
            <wp:extent cx="2219325" cy="647700"/>
            <wp:effectExtent l="0" t="0" r="9525" b="0"/>
            <wp:docPr id="1" name="Imagen 1" descr="https://www.qualitydigest.com/IQedit/Images/Articles_and_Columns/2017/08_Aug-2017/Flaig/working_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qualitydigest.com/IQedit/Images/Articles_and_Columns/2017/08_Aug-2017/Flaig/working_clip_image0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647700"/>
                    </a:xfrm>
                    <a:prstGeom prst="rect">
                      <a:avLst/>
                    </a:prstGeom>
                    <a:noFill/>
                    <a:ln>
                      <a:noFill/>
                    </a:ln>
                  </pic:spPr>
                </pic:pic>
              </a:graphicData>
            </a:graphic>
          </wp:inline>
        </w:drawing>
      </w:r>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b/>
          <w:bCs/>
          <w:color w:val="000000"/>
          <w:sz w:val="21"/>
          <w:szCs w:val="21"/>
          <w:lang w:val="en" w:eastAsia="es-CR"/>
        </w:rPr>
        <w:t>References</w:t>
      </w:r>
      <w:r w:rsidRPr="00D036F6">
        <w:rPr>
          <w:rFonts w:ascii="Georgia" w:eastAsia="Times New Roman" w:hAnsi="Georgia" w:cs="Arial"/>
          <w:color w:val="000000"/>
          <w:sz w:val="21"/>
          <w:szCs w:val="21"/>
          <w:lang w:val="en" w:eastAsia="es-CR"/>
        </w:rPr>
        <w:br/>
        <w:t xml:space="preserve">1. </w:t>
      </w:r>
      <w:proofErr w:type="spellStart"/>
      <w:r w:rsidRPr="00D036F6">
        <w:rPr>
          <w:rFonts w:ascii="Georgia" w:eastAsia="Times New Roman" w:hAnsi="Georgia" w:cs="Arial"/>
          <w:color w:val="000000"/>
          <w:sz w:val="21"/>
          <w:szCs w:val="21"/>
          <w:lang w:val="en" w:eastAsia="es-CR"/>
        </w:rPr>
        <w:t>Eckes</w:t>
      </w:r>
      <w:proofErr w:type="spellEnd"/>
      <w:r w:rsidRPr="00D036F6">
        <w:rPr>
          <w:rFonts w:ascii="Georgia" w:eastAsia="Times New Roman" w:hAnsi="Georgia" w:cs="Arial"/>
          <w:color w:val="000000"/>
          <w:sz w:val="21"/>
          <w:szCs w:val="21"/>
          <w:lang w:val="en" w:eastAsia="es-CR"/>
        </w:rPr>
        <w:t xml:space="preserve">, G. </w:t>
      </w:r>
      <w:hyperlink r:id="rId12" w:tgtFrame="_blank" w:history="1">
        <w:r w:rsidRPr="00D036F6">
          <w:rPr>
            <w:rFonts w:ascii="inherit" w:eastAsia="Times New Roman" w:hAnsi="inherit" w:cs="Arial"/>
            <w:i/>
            <w:iCs/>
            <w:color w:val="CC0000"/>
            <w:sz w:val="21"/>
            <w:szCs w:val="21"/>
            <w:lang w:val="en" w:eastAsia="es-CR"/>
          </w:rPr>
          <w:t>The Six Sigma Revolution</w:t>
        </w:r>
      </w:hyperlink>
      <w:r w:rsidRPr="00D036F6">
        <w:rPr>
          <w:rFonts w:ascii="Georgia" w:eastAsia="Times New Roman" w:hAnsi="Georgia" w:cs="Arial"/>
          <w:i/>
          <w:iCs/>
          <w:color w:val="000000"/>
          <w:sz w:val="21"/>
          <w:szCs w:val="21"/>
          <w:lang w:val="en" w:eastAsia="es-CR"/>
        </w:rPr>
        <w:t>.</w:t>
      </w:r>
      <w:r w:rsidRPr="00D036F6">
        <w:rPr>
          <w:rFonts w:ascii="Georgia" w:eastAsia="Times New Roman" w:hAnsi="Georgia" w:cs="Arial"/>
          <w:color w:val="000000"/>
          <w:sz w:val="21"/>
          <w:szCs w:val="21"/>
          <w:lang w:val="en" w:eastAsia="es-CR"/>
        </w:rPr>
        <w:t xml:space="preserve"> New York: John Wiley &amp; Sons, 2001, pg. 97. </w:t>
      </w:r>
      <w:r w:rsidRPr="00D036F6">
        <w:rPr>
          <w:rFonts w:ascii="Georgia" w:eastAsia="Times New Roman" w:hAnsi="Georgia" w:cs="Arial"/>
          <w:color w:val="000000"/>
          <w:sz w:val="21"/>
          <w:szCs w:val="21"/>
          <w:lang w:val="en" w:eastAsia="es-CR"/>
        </w:rPr>
        <w:br/>
        <w:t xml:space="preserve">2. </w:t>
      </w:r>
      <w:proofErr w:type="spellStart"/>
      <w:r w:rsidRPr="00D036F6">
        <w:rPr>
          <w:rFonts w:ascii="Georgia" w:eastAsia="Times New Roman" w:hAnsi="Georgia" w:cs="Arial"/>
          <w:color w:val="000000"/>
          <w:sz w:val="21"/>
          <w:szCs w:val="21"/>
          <w:lang w:val="en" w:eastAsia="es-CR"/>
        </w:rPr>
        <w:t>Eckes</w:t>
      </w:r>
      <w:proofErr w:type="spellEnd"/>
      <w:r w:rsidRPr="00D036F6">
        <w:rPr>
          <w:rFonts w:ascii="Georgia" w:eastAsia="Times New Roman" w:hAnsi="Georgia" w:cs="Arial"/>
          <w:color w:val="000000"/>
          <w:sz w:val="21"/>
          <w:szCs w:val="21"/>
          <w:lang w:val="en" w:eastAsia="es-CR"/>
        </w:rPr>
        <w:t xml:space="preserve">, G. </w:t>
      </w:r>
      <w:hyperlink r:id="rId13" w:tgtFrame="_blank" w:history="1">
        <w:r w:rsidRPr="00D036F6">
          <w:rPr>
            <w:rFonts w:ascii="inherit" w:eastAsia="Times New Roman" w:hAnsi="inherit" w:cs="Arial"/>
            <w:i/>
            <w:iCs/>
            <w:color w:val="CC0000"/>
            <w:sz w:val="21"/>
            <w:szCs w:val="21"/>
            <w:lang w:val="en" w:eastAsia="es-CR"/>
          </w:rPr>
          <w:t>Six Sigma for Everyone</w:t>
        </w:r>
      </w:hyperlink>
      <w:r w:rsidRPr="00D036F6">
        <w:rPr>
          <w:rFonts w:ascii="Georgia" w:eastAsia="Times New Roman" w:hAnsi="Georgia" w:cs="Arial"/>
          <w:i/>
          <w:iCs/>
          <w:color w:val="000000"/>
          <w:sz w:val="21"/>
          <w:szCs w:val="21"/>
          <w:lang w:val="en" w:eastAsia="es-CR"/>
        </w:rPr>
        <w:t>.</w:t>
      </w:r>
      <w:r w:rsidRPr="00D036F6">
        <w:rPr>
          <w:rFonts w:ascii="Georgia" w:eastAsia="Times New Roman" w:hAnsi="Georgia" w:cs="Arial"/>
          <w:color w:val="000000"/>
          <w:sz w:val="21"/>
          <w:szCs w:val="21"/>
          <w:lang w:val="en" w:eastAsia="es-CR"/>
        </w:rPr>
        <w:t xml:space="preserve"> New York: John Wiley &amp; Sons, 2003, pp. 72, 73. </w:t>
      </w:r>
      <w:r w:rsidRPr="00D036F6">
        <w:rPr>
          <w:rFonts w:ascii="Georgia" w:eastAsia="Times New Roman" w:hAnsi="Georgia" w:cs="Arial"/>
          <w:color w:val="000000"/>
          <w:sz w:val="21"/>
          <w:szCs w:val="21"/>
          <w:lang w:val="en" w:eastAsia="es-CR"/>
        </w:rPr>
        <w:br/>
        <w:t xml:space="preserve">3. Stigler, S. M. </w:t>
      </w:r>
      <w:hyperlink r:id="rId14" w:tgtFrame="_blank" w:history="1">
        <w:r w:rsidRPr="00D036F6">
          <w:rPr>
            <w:rFonts w:ascii="inherit" w:eastAsia="Times New Roman" w:hAnsi="inherit" w:cs="Arial"/>
            <w:i/>
            <w:iCs/>
            <w:color w:val="CC0000"/>
            <w:sz w:val="21"/>
            <w:szCs w:val="21"/>
            <w:lang w:val="en" w:eastAsia="es-CR"/>
          </w:rPr>
          <w:t>The History of Statistics</w:t>
        </w:r>
      </w:hyperlink>
      <w:r w:rsidRPr="00D036F6">
        <w:rPr>
          <w:rFonts w:ascii="Georgia" w:eastAsia="Times New Roman" w:hAnsi="Georgia" w:cs="Arial"/>
          <w:color w:val="000000"/>
          <w:sz w:val="21"/>
          <w:szCs w:val="21"/>
          <w:lang w:val="en" w:eastAsia="es-CR"/>
        </w:rPr>
        <w:t>. Cambridge, MA: The Belknap Press of Harvard University Press, 1986.</w:t>
      </w:r>
      <w:r w:rsidRPr="00D036F6">
        <w:rPr>
          <w:rFonts w:ascii="Georgia" w:eastAsia="Times New Roman" w:hAnsi="Georgia" w:cs="Arial"/>
          <w:color w:val="000000"/>
          <w:sz w:val="21"/>
          <w:szCs w:val="21"/>
          <w:lang w:val="en" w:eastAsia="es-CR"/>
        </w:rPr>
        <w:br/>
        <w:t>4. Wheeler, D. J. personal communications, 2016.</w:t>
      </w:r>
      <w:r w:rsidRPr="00D036F6">
        <w:rPr>
          <w:rFonts w:ascii="Georgia" w:eastAsia="Times New Roman" w:hAnsi="Georgia" w:cs="Arial"/>
          <w:color w:val="000000"/>
          <w:sz w:val="21"/>
          <w:szCs w:val="21"/>
          <w:lang w:val="en" w:eastAsia="es-CR"/>
        </w:rPr>
        <w:br/>
        <w:t xml:space="preserve">5. Shewhart, W. A. </w:t>
      </w:r>
      <w:hyperlink r:id="rId15" w:tgtFrame="_blank" w:history="1">
        <w:r w:rsidRPr="00D036F6">
          <w:rPr>
            <w:rFonts w:ascii="inherit" w:eastAsia="Times New Roman" w:hAnsi="inherit" w:cs="Arial"/>
            <w:i/>
            <w:iCs/>
            <w:color w:val="CC0000"/>
            <w:sz w:val="21"/>
            <w:szCs w:val="21"/>
            <w:lang w:val="en" w:eastAsia="es-CR"/>
          </w:rPr>
          <w:t>Economic Control of Quality of Manufactured Product</w:t>
        </w:r>
      </w:hyperlink>
      <w:r w:rsidRPr="00D036F6">
        <w:rPr>
          <w:rFonts w:ascii="Georgia" w:eastAsia="Times New Roman" w:hAnsi="Georgia" w:cs="Arial"/>
          <w:i/>
          <w:iCs/>
          <w:color w:val="000000"/>
          <w:sz w:val="21"/>
          <w:szCs w:val="21"/>
          <w:lang w:val="en" w:eastAsia="es-CR"/>
        </w:rPr>
        <w:t>.</w:t>
      </w:r>
      <w:r w:rsidRPr="00D036F6">
        <w:rPr>
          <w:rFonts w:ascii="Georgia" w:eastAsia="Times New Roman" w:hAnsi="Georgia" w:cs="Arial"/>
          <w:color w:val="000000"/>
          <w:sz w:val="21"/>
          <w:szCs w:val="21"/>
          <w:lang w:val="en" w:eastAsia="es-CR"/>
        </w:rPr>
        <w:t xml:space="preserve"> New York: D. Van Nostrand, 1931. (Republished in 1980 by the American Society for Quality Control, Milwaukee, WI.)</w:t>
      </w:r>
      <w:r w:rsidRPr="00D036F6">
        <w:rPr>
          <w:rFonts w:ascii="Georgia" w:eastAsia="Times New Roman" w:hAnsi="Georgia" w:cs="Arial"/>
          <w:color w:val="000000"/>
          <w:sz w:val="21"/>
          <w:szCs w:val="21"/>
          <w:lang w:val="en" w:eastAsia="es-CR"/>
        </w:rPr>
        <w:br/>
        <w:t xml:space="preserve">6. </w:t>
      </w:r>
      <w:proofErr w:type="spellStart"/>
      <w:r w:rsidRPr="00D036F6">
        <w:rPr>
          <w:rFonts w:ascii="Georgia" w:eastAsia="Times New Roman" w:hAnsi="Georgia" w:cs="Arial"/>
          <w:color w:val="000000"/>
          <w:sz w:val="21"/>
          <w:szCs w:val="21"/>
          <w:lang w:val="en" w:eastAsia="es-CR"/>
        </w:rPr>
        <w:t>Cruthis</w:t>
      </w:r>
      <w:proofErr w:type="spellEnd"/>
      <w:r w:rsidRPr="00D036F6">
        <w:rPr>
          <w:rFonts w:ascii="Georgia" w:eastAsia="Times New Roman" w:hAnsi="Georgia" w:cs="Arial"/>
          <w:color w:val="000000"/>
          <w:sz w:val="21"/>
          <w:szCs w:val="21"/>
          <w:lang w:val="en" w:eastAsia="es-CR"/>
        </w:rPr>
        <w:t xml:space="preserve">, E. N. and S. E. Rigdon. </w:t>
      </w:r>
      <w:hyperlink r:id="rId16" w:tgtFrame="_blank" w:history="1">
        <w:r w:rsidRPr="00D036F6">
          <w:rPr>
            <w:rFonts w:ascii="inherit" w:eastAsia="Times New Roman" w:hAnsi="inherit" w:cs="Arial"/>
            <w:color w:val="CC0000"/>
            <w:sz w:val="21"/>
            <w:szCs w:val="21"/>
            <w:lang w:val="en" w:eastAsia="es-CR"/>
          </w:rPr>
          <w:t>“Comparing Two Estimates of Variance to Determine the Stability of a Process,”</w:t>
        </w:r>
      </w:hyperlink>
      <w:r w:rsidRPr="00D036F6">
        <w:rPr>
          <w:rFonts w:ascii="Georgia" w:eastAsia="Times New Roman" w:hAnsi="Georgia" w:cs="Arial"/>
          <w:color w:val="000000"/>
          <w:sz w:val="21"/>
          <w:szCs w:val="21"/>
          <w:lang w:val="en" w:eastAsia="es-CR"/>
        </w:rPr>
        <w:t xml:space="preserve"> </w:t>
      </w:r>
      <w:r w:rsidRPr="00D036F6">
        <w:rPr>
          <w:rFonts w:ascii="Georgia" w:eastAsia="Times New Roman" w:hAnsi="Georgia" w:cs="Arial"/>
          <w:i/>
          <w:iCs/>
          <w:color w:val="000000"/>
          <w:sz w:val="21"/>
          <w:szCs w:val="21"/>
          <w:lang w:val="en" w:eastAsia="es-CR"/>
        </w:rPr>
        <w:t>Quality Engineering,</w:t>
      </w:r>
      <w:r w:rsidRPr="00D036F6">
        <w:rPr>
          <w:rFonts w:ascii="Georgia" w:eastAsia="Times New Roman" w:hAnsi="Georgia" w:cs="Arial"/>
          <w:color w:val="000000"/>
          <w:sz w:val="21"/>
          <w:szCs w:val="21"/>
          <w:lang w:val="en" w:eastAsia="es-CR"/>
        </w:rPr>
        <w:t xml:space="preserve"> vol. 5, no. 1., 1993.</w:t>
      </w:r>
      <w:r w:rsidRPr="00D036F6">
        <w:rPr>
          <w:rFonts w:ascii="Georgia" w:eastAsia="Times New Roman" w:hAnsi="Georgia" w:cs="Arial"/>
          <w:color w:val="000000"/>
          <w:sz w:val="21"/>
          <w:szCs w:val="21"/>
          <w:lang w:val="en" w:eastAsia="es-CR"/>
        </w:rPr>
        <w:br/>
        <w:t xml:space="preserve">7. Dixon, W. J. and F. J. Massey. </w:t>
      </w:r>
      <w:hyperlink r:id="rId17" w:tgtFrame="_blank" w:history="1">
        <w:r w:rsidRPr="00D036F6">
          <w:rPr>
            <w:rFonts w:ascii="inherit" w:eastAsia="Times New Roman" w:hAnsi="inherit" w:cs="Arial"/>
            <w:i/>
            <w:iCs/>
            <w:color w:val="CC0000"/>
            <w:sz w:val="21"/>
            <w:szCs w:val="21"/>
            <w:lang w:val="en" w:eastAsia="es-CR"/>
          </w:rPr>
          <w:t>Introduction to Statistical Analysis</w:t>
        </w:r>
      </w:hyperlink>
      <w:r w:rsidRPr="00D036F6">
        <w:rPr>
          <w:rFonts w:ascii="Georgia" w:eastAsia="Times New Roman" w:hAnsi="Georgia" w:cs="Arial"/>
          <w:color w:val="000000"/>
          <w:sz w:val="21"/>
          <w:szCs w:val="21"/>
          <w:lang w:val="en" w:eastAsia="es-CR"/>
        </w:rPr>
        <w:t>. New York: McGraw-Hill, 1969.</w:t>
      </w:r>
    </w:p>
    <w:p w:rsidR="00D036F6" w:rsidRPr="00D036F6" w:rsidRDefault="00D036F6" w:rsidP="00D036F6">
      <w:pPr>
        <w:shd w:val="clear" w:color="auto" w:fill="D5D5D5"/>
        <w:spacing w:after="0" w:line="360" w:lineRule="atLeast"/>
        <w:ind w:right="150"/>
        <w:outlineLvl w:val="3"/>
        <w:rPr>
          <w:rFonts w:ascii="Arial Narrow" w:eastAsia="Times New Roman" w:hAnsi="Arial Narrow" w:cs="Arial"/>
          <w:caps/>
          <w:color w:val="666666"/>
          <w:sz w:val="27"/>
          <w:szCs w:val="27"/>
          <w:lang w:val="en" w:eastAsia="es-CR"/>
        </w:rPr>
      </w:pPr>
      <w:r w:rsidRPr="00D036F6">
        <w:rPr>
          <w:rFonts w:ascii="Arial Narrow" w:eastAsia="Times New Roman" w:hAnsi="Arial Narrow" w:cs="Arial"/>
          <w:caps/>
          <w:color w:val="666666"/>
          <w:sz w:val="27"/>
          <w:szCs w:val="27"/>
          <w:lang w:val="en" w:eastAsia="es-CR"/>
        </w:rPr>
        <w:t>About The Author</w:t>
      </w:r>
    </w:p>
    <w:p w:rsidR="00D036F6" w:rsidRPr="00D036F6" w:rsidRDefault="00D036F6" w:rsidP="00D036F6">
      <w:pPr>
        <w:shd w:val="clear" w:color="auto" w:fill="D5D5D5"/>
        <w:spacing w:after="0" w:line="240" w:lineRule="atLeast"/>
        <w:rPr>
          <w:rFonts w:ascii="Arial" w:eastAsia="Times New Roman" w:hAnsi="Arial" w:cs="Arial"/>
          <w:color w:val="000000"/>
          <w:sz w:val="21"/>
          <w:szCs w:val="21"/>
          <w:lang w:val="en" w:eastAsia="es-CR"/>
        </w:rPr>
      </w:pPr>
      <w:r w:rsidRPr="00D036F6">
        <w:rPr>
          <w:rFonts w:ascii="Arial" w:eastAsia="Times New Roman" w:hAnsi="Arial" w:cs="Arial"/>
          <w:noProof/>
          <w:color w:val="000000"/>
          <w:sz w:val="21"/>
          <w:szCs w:val="21"/>
          <w:lang w:val="en" w:eastAsia="es-CR"/>
        </w:rPr>
        <w:drawing>
          <wp:inline distT="0" distB="0" distL="0" distR="0">
            <wp:extent cx="714375" cy="714375"/>
            <wp:effectExtent l="0" t="0" r="9525" b="9525"/>
            <wp:docPr id="9" name="Imagen 9" descr="John Flaig’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ohn Flaig’s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D036F6" w:rsidRPr="00D036F6" w:rsidRDefault="00D036F6" w:rsidP="00D036F6">
      <w:pPr>
        <w:shd w:val="clear" w:color="auto" w:fill="D5D5D5"/>
        <w:spacing w:after="120" w:line="360" w:lineRule="atLeast"/>
        <w:ind w:right="150"/>
        <w:outlineLvl w:val="3"/>
        <w:rPr>
          <w:rFonts w:ascii="Georgia" w:eastAsia="Times New Roman" w:hAnsi="Georgia" w:cs="Arial"/>
          <w:color w:val="666666"/>
          <w:sz w:val="27"/>
          <w:szCs w:val="27"/>
          <w:lang w:val="en" w:eastAsia="es-CR"/>
        </w:rPr>
      </w:pPr>
      <w:r w:rsidRPr="00D036F6">
        <w:rPr>
          <w:rFonts w:ascii="Georgia" w:eastAsia="Times New Roman" w:hAnsi="Georgia" w:cs="Arial"/>
          <w:color w:val="666666"/>
          <w:sz w:val="27"/>
          <w:szCs w:val="27"/>
          <w:lang w:val="en" w:eastAsia="es-CR"/>
        </w:rPr>
        <w:t xml:space="preserve">John </w:t>
      </w:r>
      <w:proofErr w:type="spellStart"/>
      <w:r w:rsidRPr="00D036F6">
        <w:rPr>
          <w:rFonts w:ascii="Georgia" w:eastAsia="Times New Roman" w:hAnsi="Georgia" w:cs="Arial"/>
          <w:color w:val="666666"/>
          <w:sz w:val="27"/>
          <w:szCs w:val="27"/>
          <w:lang w:val="en" w:eastAsia="es-CR"/>
        </w:rPr>
        <w:t>Flaig</w:t>
      </w:r>
      <w:proofErr w:type="spellEnd"/>
    </w:p>
    <w:p w:rsidR="00D036F6" w:rsidRPr="00D036F6" w:rsidRDefault="00D036F6" w:rsidP="00D036F6">
      <w:pPr>
        <w:shd w:val="clear" w:color="auto" w:fill="D5D5D5"/>
        <w:spacing w:before="100" w:beforeAutospacing="1" w:after="270" w:line="360" w:lineRule="atLeast"/>
        <w:rPr>
          <w:rFonts w:ascii="Georgia" w:eastAsia="Times New Roman" w:hAnsi="Georgia" w:cs="Arial"/>
          <w:color w:val="000000"/>
          <w:sz w:val="21"/>
          <w:szCs w:val="21"/>
          <w:lang w:val="en" w:eastAsia="es-CR"/>
        </w:rPr>
      </w:pPr>
      <w:r w:rsidRPr="00D036F6">
        <w:rPr>
          <w:rFonts w:ascii="Georgia" w:eastAsia="Times New Roman" w:hAnsi="Georgia" w:cs="Arial"/>
          <w:i/>
          <w:iCs/>
          <w:color w:val="000000"/>
          <w:sz w:val="21"/>
          <w:szCs w:val="21"/>
          <w:lang w:val="en" w:eastAsia="es-CR"/>
        </w:rPr>
        <w:t xml:space="preserve">John J. </w:t>
      </w:r>
      <w:proofErr w:type="spellStart"/>
      <w:r w:rsidRPr="00D036F6">
        <w:rPr>
          <w:rFonts w:ascii="Georgia" w:eastAsia="Times New Roman" w:hAnsi="Georgia" w:cs="Arial"/>
          <w:i/>
          <w:iCs/>
          <w:color w:val="000000"/>
          <w:sz w:val="21"/>
          <w:szCs w:val="21"/>
          <w:lang w:val="en" w:eastAsia="es-CR"/>
        </w:rPr>
        <w:t>Flaig</w:t>
      </w:r>
      <w:proofErr w:type="spellEnd"/>
      <w:r w:rsidRPr="00D036F6">
        <w:rPr>
          <w:rFonts w:ascii="Georgia" w:eastAsia="Times New Roman" w:hAnsi="Georgia" w:cs="Arial"/>
          <w:i/>
          <w:iCs/>
          <w:color w:val="000000"/>
          <w:sz w:val="21"/>
          <w:szCs w:val="21"/>
          <w:lang w:val="en" w:eastAsia="es-CR"/>
        </w:rPr>
        <w:t>, Ph.D., is a fellow of the American Society for Quality and is managing director of Applied Technology at </w:t>
      </w:r>
      <w:hyperlink r:id="rId18" w:tgtFrame="_blank" w:history="1">
        <w:r w:rsidRPr="00D036F6">
          <w:rPr>
            <w:rFonts w:ascii="inherit" w:eastAsia="Times New Roman" w:hAnsi="inherit" w:cs="Arial"/>
            <w:i/>
            <w:iCs/>
            <w:color w:val="CC0000"/>
            <w:sz w:val="21"/>
            <w:szCs w:val="21"/>
            <w:lang w:val="en" w:eastAsia="es-CR"/>
          </w:rPr>
          <w:t>www.e-at-usa.com</w:t>
        </w:r>
      </w:hyperlink>
      <w:r w:rsidRPr="00D036F6">
        <w:rPr>
          <w:rFonts w:ascii="Georgia" w:eastAsia="Times New Roman" w:hAnsi="Georgia" w:cs="Arial"/>
          <w:i/>
          <w:iCs/>
          <w:color w:val="000000"/>
          <w:sz w:val="21"/>
          <w:szCs w:val="21"/>
          <w:lang w:val="en" w:eastAsia="es-CR"/>
        </w:rPr>
        <w:t xml:space="preserve">, a training and consulting company. </w:t>
      </w:r>
      <w:proofErr w:type="spellStart"/>
      <w:r w:rsidRPr="00D036F6">
        <w:rPr>
          <w:rFonts w:ascii="Georgia" w:eastAsia="Times New Roman" w:hAnsi="Georgia" w:cs="Arial"/>
          <w:i/>
          <w:iCs/>
          <w:color w:val="000000"/>
          <w:sz w:val="21"/>
          <w:szCs w:val="21"/>
          <w:lang w:val="en" w:eastAsia="es-CR"/>
        </w:rPr>
        <w:t>Flaig</w:t>
      </w:r>
      <w:proofErr w:type="spellEnd"/>
      <w:r w:rsidRPr="00D036F6">
        <w:rPr>
          <w:rFonts w:ascii="Georgia" w:eastAsia="Times New Roman" w:hAnsi="Georgia" w:cs="Arial"/>
          <w:i/>
          <w:iCs/>
          <w:color w:val="000000"/>
          <w:sz w:val="21"/>
          <w:szCs w:val="21"/>
          <w:lang w:val="en" w:eastAsia="es-CR"/>
        </w:rPr>
        <w:t xml:space="preserve"> has </w:t>
      </w:r>
      <w:r w:rsidRPr="00D036F6">
        <w:rPr>
          <w:rFonts w:ascii="Georgia" w:eastAsia="Times New Roman" w:hAnsi="Georgia" w:cs="Arial"/>
          <w:i/>
          <w:iCs/>
          <w:color w:val="000000"/>
          <w:sz w:val="21"/>
          <w:szCs w:val="21"/>
          <w:lang w:val="en" w:eastAsia="es-CR"/>
        </w:rPr>
        <w:lastRenderedPageBreak/>
        <w:t>given lectures and seminars in Europe, Asia, and throughout the United States. His special interests are in statistical process control, process capability analysis, supplier management, design of experiments, and process optimization. He was formerly a member of the Editorial Board of Quality Engineering, a journal of the ASQ, and associate editor of Quality Technology and Quantitative Management, a journal of the International Chinese Association of Quantitative Management.</w:t>
      </w:r>
    </w:p>
    <w:p w:rsidR="002800F1" w:rsidRPr="00D036F6" w:rsidRDefault="002800F1">
      <w:pPr>
        <w:rPr>
          <w:lang w:val="en"/>
        </w:rPr>
      </w:pPr>
    </w:p>
    <w:sectPr w:rsidR="002800F1" w:rsidRPr="00D03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F6"/>
    <w:rsid w:val="00072A88"/>
    <w:rsid w:val="000C2DFE"/>
    <w:rsid w:val="001214A2"/>
    <w:rsid w:val="001272E9"/>
    <w:rsid w:val="00146F84"/>
    <w:rsid w:val="00167E7E"/>
    <w:rsid w:val="001D2590"/>
    <w:rsid w:val="001E5380"/>
    <w:rsid w:val="002112FD"/>
    <w:rsid w:val="002800F1"/>
    <w:rsid w:val="00307EB3"/>
    <w:rsid w:val="003244C7"/>
    <w:rsid w:val="00327170"/>
    <w:rsid w:val="003B0D4C"/>
    <w:rsid w:val="003B1EA7"/>
    <w:rsid w:val="004B3F79"/>
    <w:rsid w:val="005034EB"/>
    <w:rsid w:val="00621EAD"/>
    <w:rsid w:val="006E0482"/>
    <w:rsid w:val="006F4478"/>
    <w:rsid w:val="006F4FBE"/>
    <w:rsid w:val="0072480A"/>
    <w:rsid w:val="0073099E"/>
    <w:rsid w:val="00753338"/>
    <w:rsid w:val="007E47E1"/>
    <w:rsid w:val="00885F82"/>
    <w:rsid w:val="0095329D"/>
    <w:rsid w:val="00A41E1B"/>
    <w:rsid w:val="00A8064A"/>
    <w:rsid w:val="00AB0137"/>
    <w:rsid w:val="00AB6339"/>
    <w:rsid w:val="00AB74C7"/>
    <w:rsid w:val="00AF3015"/>
    <w:rsid w:val="00C01EDC"/>
    <w:rsid w:val="00C929E4"/>
    <w:rsid w:val="00CC6DCB"/>
    <w:rsid w:val="00D036F6"/>
    <w:rsid w:val="00D95A76"/>
    <w:rsid w:val="00DF3B64"/>
    <w:rsid w:val="00E061EB"/>
    <w:rsid w:val="00E14FA8"/>
    <w:rsid w:val="00F13BC2"/>
    <w:rsid w:val="00F52CDA"/>
    <w:rsid w:val="00FA210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DC61"/>
  <w15:chartTrackingRefBased/>
  <w15:docId w15:val="{C73DDFEF-338E-4C44-900A-A0439752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036F6"/>
    <w:rPr>
      <w:rFonts w:ascii="inherit" w:hAnsi="inherit" w:hint="default"/>
      <w:strike w:val="0"/>
      <w:dstrike w:val="0"/>
      <w:color w:val="CC0000"/>
      <w:u w:val="none"/>
      <w:effect w:val="none"/>
    </w:rPr>
  </w:style>
  <w:style w:type="character" w:styleId="Textoennegrita">
    <w:name w:val="Strong"/>
    <w:basedOn w:val="Fuentedeprrafopredeter"/>
    <w:uiPriority w:val="22"/>
    <w:qFormat/>
    <w:rsid w:val="00D036F6"/>
    <w:rPr>
      <w:b/>
      <w:bCs/>
    </w:rPr>
  </w:style>
  <w:style w:type="character" w:customStyle="1" w:styleId="caption">
    <w:name w:val="caption"/>
    <w:basedOn w:val="Fuentedeprrafopredeter"/>
    <w:rsid w:val="00D036F6"/>
  </w:style>
  <w:style w:type="paragraph" w:styleId="NormalWeb">
    <w:name w:val="Normal (Web)"/>
    <w:basedOn w:val="Normal"/>
    <w:uiPriority w:val="99"/>
    <w:semiHidden/>
    <w:unhideWhenUsed/>
    <w:rsid w:val="00D036F6"/>
    <w:pPr>
      <w:spacing w:before="100" w:beforeAutospacing="1" w:after="100" w:afterAutospacing="1" w:line="240" w:lineRule="auto"/>
    </w:pPr>
    <w:rPr>
      <w:rFonts w:ascii="Times New Roman" w:eastAsia="Times New Roman" w:hAnsi="Times New Roman" w:cs="Times New Roman"/>
      <w:color w:val="000000"/>
      <w:sz w:val="18"/>
      <w:szCs w:val="18"/>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070">
      <w:bodyDiv w:val="1"/>
      <w:marLeft w:val="0"/>
      <w:marRight w:val="0"/>
      <w:marTop w:val="0"/>
      <w:marBottom w:val="0"/>
      <w:divBdr>
        <w:top w:val="none" w:sz="0" w:space="0" w:color="auto"/>
        <w:left w:val="none" w:sz="0" w:space="0" w:color="auto"/>
        <w:bottom w:val="none" w:sz="0" w:space="0" w:color="auto"/>
        <w:right w:val="none" w:sz="0" w:space="0" w:color="auto"/>
      </w:divBdr>
      <w:divsChild>
        <w:div w:id="1103189929">
          <w:marLeft w:val="0"/>
          <w:marRight w:val="0"/>
          <w:marTop w:val="0"/>
          <w:marBottom w:val="0"/>
          <w:divBdr>
            <w:top w:val="none" w:sz="0" w:space="0" w:color="auto"/>
            <w:left w:val="none" w:sz="0" w:space="0" w:color="auto"/>
            <w:bottom w:val="none" w:sz="0" w:space="0" w:color="auto"/>
            <w:right w:val="none" w:sz="0" w:space="0" w:color="auto"/>
          </w:divBdr>
          <w:divsChild>
            <w:div w:id="489175079">
              <w:marLeft w:val="0"/>
              <w:marRight w:val="0"/>
              <w:marTop w:val="0"/>
              <w:marBottom w:val="0"/>
              <w:divBdr>
                <w:top w:val="none" w:sz="0" w:space="0" w:color="auto"/>
                <w:left w:val="none" w:sz="0" w:space="0" w:color="auto"/>
                <w:bottom w:val="none" w:sz="0" w:space="0" w:color="auto"/>
                <w:right w:val="none" w:sz="0" w:space="0" w:color="auto"/>
              </w:divBdr>
              <w:divsChild>
                <w:div w:id="756632492">
                  <w:marLeft w:val="0"/>
                  <w:marRight w:val="0"/>
                  <w:marTop w:val="0"/>
                  <w:marBottom w:val="0"/>
                  <w:divBdr>
                    <w:top w:val="none" w:sz="0" w:space="0" w:color="auto"/>
                    <w:left w:val="none" w:sz="0" w:space="0" w:color="auto"/>
                    <w:bottom w:val="none" w:sz="0" w:space="0" w:color="auto"/>
                    <w:right w:val="none" w:sz="0" w:space="0" w:color="auto"/>
                  </w:divBdr>
                  <w:divsChild>
                    <w:div w:id="700671865">
                      <w:marLeft w:val="0"/>
                      <w:marRight w:val="0"/>
                      <w:marTop w:val="0"/>
                      <w:marBottom w:val="0"/>
                      <w:divBdr>
                        <w:top w:val="none" w:sz="0" w:space="0" w:color="auto"/>
                        <w:left w:val="none" w:sz="0" w:space="0" w:color="auto"/>
                        <w:bottom w:val="none" w:sz="0" w:space="0" w:color="auto"/>
                        <w:right w:val="none" w:sz="0" w:space="0" w:color="auto"/>
                      </w:divBdr>
                      <w:divsChild>
                        <w:div w:id="624043515">
                          <w:marLeft w:val="450"/>
                          <w:marRight w:val="0"/>
                          <w:marTop w:val="0"/>
                          <w:marBottom w:val="0"/>
                          <w:divBdr>
                            <w:top w:val="none" w:sz="0" w:space="0" w:color="auto"/>
                            <w:left w:val="none" w:sz="0" w:space="0" w:color="auto"/>
                            <w:bottom w:val="none" w:sz="0" w:space="0" w:color="auto"/>
                            <w:right w:val="none" w:sz="0" w:space="0" w:color="auto"/>
                          </w:divBdr>
                          <w:divsChild>
                            <w:div w:id="271280990">
                              <w:marLeft w:val="0"/>
                              <w:marRight w:val="0"/>
                              <w:marTop w:val="0"/>
                              <w:marBottom w:val="300"/>
                              <w:divBdr>
                                <w:top w:val="single" w:sz="6" w:space="4" w:color="CCCCCC"/>
                                <w:left w:val="none" w:sz="0" w:space="0" w:color="auto"/>
                                <w:bottom w:val="single" w:sz="6" w:space="4" w:color="CCCCCC"/>
                                <w:right w:val="none" w:sz="0" w:space="0" w:color="auto"/>
                              </w:divBdr>
                              <w:divsChild>
                                <w:div w:id="1225216006">
                                  <w:marLeft w:val="0"/>
                                  <w:marRight w:val="0"/>
                                  <w:marTop w:val="0"/>
                                  <w:marBottom w:val="0"/>
                                  <w:divBdr>
                                    <w:top w:val="dotted" w:sz="6" w:space="0" w:color="CCCCCC"/>
                                    <w:left w:val="dotted" w:sz="6" w:space="0" w:color="CCCCCC"/>
                                    <w:bottom w:val="dotted" w:sz="6" w:space="0" w:color="CCCCCC"/>
                                    <w:right w:val="dotted" w:sz="6" w:space="0" w:color="CCCCCC"/>
                                  </w:divBdr>
                                  <w:divsChild>
                                    <w:div w:id="150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35102">
      <w:bodyDiv w:val="1"/>
      <w:marLeft w:val="0"/>
      <w:marRight w:val="0"/>
      <w:marTop w:val="0"/>
      <w:marBottom w:val="0"/>
      <w:divBdr>
        <w:top w:val="none" w:sz="0" w:space="0" w:color="auto"/>
        <w:left w:val="none" w:sz="0" w:space="0" w:color="auto"/>
        <w:bottom w:val="none" w:sz="0" w:space="0" w:color="auto"/>
        <w:right w:val="none" w:sz="0" w:space="0" w:color="auto"/>
      </w:divBdr>
      <w:divsChild>
        <w:div w:id="1339385361">
          <w:marLeft w:val="0"/>
          <w:marRight w:val="0"/>
          <w:marTop w:val="0"/>
          <w:marBottom w:val="0"/>
          <w:divBdr>
            <w:top w:val="none" w:sz="0" w:space="0" w:color="auto"/>
            <w:left w:val="none" w:sz="0" w:space="0" w:color="auto"/>
            <w:bottom w:val="none" w:sz="0" w:space="0" w:color="auto"/>
            <w:right w:val="none" w:sz="0" w:space="0" w:color="auto"/>
          </w:divBdr>
          <w:divsChild>
            <w:div w:id="20712861">
              <w:marLeft w:val="0"/>
              <w:marRight w:val="0"/>
              <w:marTop w:val="0"/>
              <w:marBottom w:val="0"/>
              <w:divBdr>
                <w:top w:val="none" w:sz="0" w:space="0" w:color="auto"/>
                <w:left w:val="none" w:sz="0" w:space="0" w:color="auto"/>
                <w:bottom w:val="none" w:sz="0" w:space="0" w:color="auto"/>
                <w:right w:val="none" w:sz="0" w:space="0" w:color="auto"/>
              </w:divBdr>
              <w:divsChild>
                <w:div w:id="591820415">
                  <w:marLeft w:val="0"/>
                  <w:marRight w:val="0"/>
                  <w:marTop w:val="0"/>
                  <w:marBottom w:val="0"/>
                  <w:divBdr>
                    <w:top w:val="none" w:sz="0" w:space="0" w:color="auto"/>
                    <w:left w:val="none" w:sz="0" w:space="0" w:color="auto"/>
                    <w:bottom w:val="none" w:sz="0" w:space="0" w:color="auto"/>
                    <w:right w:val="none" w:sz="0" w:space="0" w:color="auto"/>
                  </w:divBdr>
                  <w:divsChild>
                    <w:div w:id="1159660799">
                      <w:marLeft w:val="0"/>
                      <w:marRight w:val="0"/>
                      <w:marTop w:val="0"/>
                      <w:marBottom w:val="0"/>
                      <w:divBdr>
                        <w:top w:val="none" w:sz="0" w:space="0" w:color="auto"/>
                        <w:left w:val="none" w:sz="0" w:space="0" w:color="auto"/>
                        <w:bottom w:val="none" w:sz="0" w:space="0" w:color="auto"/>
                        <w:right w:val="none" w:sz="0" w:space="0" w:color="auto"/>
                      </w:divBdr>
                      <w:divsChild>
                        <w:div w:id="1624186841">
                          <w:marLeft w:val="450"/>
                          <w:marRight w:val="0"/>
                          <w:marTop w:val="0"/>
                          <w:marBottom w:val="0"/>
                          <w:divBdr>
                            <w:top w:val="none" w:sz="0" w:space="0" w:color="auto"/>
                            <w:left w:val="none" w:sz="0" w:space="0" w:color="auto"/>
                            <w:bottom w:val="none" w:sz="0" w:space="0" w:color="auto"/>
                            <w:right w:val="none" w:sz="0" w:space="0" w:color="auto"/>
                          </w:divBdr>
                          <w:divsChild>
                            <w:div w:id="1073426308">
                              <w:marLeft w:val="0"/>
                              <w:marRight w:val="0"/>
                              <w:marTop w:val="0"/>
                              <w:marBottom w:val="0"/>
                              <w:divBdr>
                                <w:top w:val="none" w:sz="0" w:space="0" w:color="auto"/>
                                <w:left w:val="none" w:sz="0" w:space="0" w:color="auto"/>
                                <w:bottom w:val="none" w:sz="0" w:space="0" w:color="auto"/>
                                <w:right w:val="none" w:sz="0" w:space="0" w:color="auto"/>
                              </w:divBdr>
                              <w:divsChild>
                                <w:div w:id="14405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063">
                          <w:marLeft w:val="450"/>
                          <w:marRight w:val="0"/>
                          <w:marTop w:val="0"/>
                          <w:marBottom w:val="0"/>
                          <w:divBdr>
                            <w:top w:val="none" w:sz="0" w:space="0" w:color="auto"/>
                            <w:left w:val="none" w:sz="0" w:space="0" w:color="auto"/>
                            <w:bottom w:val="none" w:sz="0" w:space="0" w:color="auto"/>
                            <w:right w:val="none" w:sz="0" w:space="0" w:color="auto"/>
                          </w:divBdr>
                          <w:divsChild>
                            <w:div w:id="17824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70312">
      <w:bodyDiv w:val="1"/>
      <w:marLeft w:val="0"/>
      <w:marRight w:val="0"/>
      <w:marTop w:val="0"/>
      <w:marBottom w:val="0"/>
      <w:divBdr>
        <w:top w:val="none" w:sz="0" w:space="0" w:color="auto"/>
        <w:left w:val="none" w:sz="0" w:space="0" w:color="auto"/>
        <w:bottom w:val="none" w:sz="0" w:space="0" w:color="auto"/>
        <w:right w:val="none" w:sz="0" w:space="0" w:color="auto"/>
      </w:divBdr>
      <w:divsChild>
        <w:div w:id="2101441695">
          <w:marLeft w:val="0"/>
          <w:marRight w:val="0"/>
          <w:marTop w:val="0"/>
          <w:marBottom w:val="0"/>
          <w:divBdr>
            <w:top w:val="none" w:sz="0" w:space="0" w:color="auto"/>
            <w:left w:val="none" w:sz="0" w:space="0" w:color="auto"/>
            <w:bottom w:val="none" w:sz="0" w:space="0" w:color="auto"/>
            <w:right w:val="none" w:sz="0" w:space="0" w:color="auto"/>
          </w:divBdr>
          <w:divsChild>
            <w:div w:id="261768870">
              <w:marLeft w:val="0"/>
              <w:marRight w:val="0"/>
              <w:marTop w:val="0"/>
              <w:marBottom w:val="0"/>
              <w:divBdr>
                <w:top w:val="none" w:sz="0" w:space="0" w:color="auto"/>
                <w:left w:val="none" w:sz="0" w:space="0" w:color="auto"/>
                <w:bottom w:val="none" w:sz="0" w:space="0" w:color="auto"/>
                <w:right w:val="none" w:sz="0" w:space="0" w:color="auto"/>
              </w:divBdr>
              <w:divsChild>
                <w:div w:id="508177665">
                  <w:marLeft w:val="0"/>
                  <w:marRight w:val="0"/>
                  <w:marTop w:val="0"/>
                  <w:marBottom w:val="0"/>
                  <w:divBdr>
                    <w:top w:val="none" w:sz="0" w:space="0" w:color="auto"/>
                    <w:left w:val="none" w:sz="0" w:space="0" w:color="auto"/>
                    <w:bottom w:val="none" w:sz="0" w:space="0" w:color="auto"/>
                    <w:right w:val="none" w:sz="0" w:space="0" w:color="auto"/>
                  </w:divBdr>
                  <w:divsChild>
                    <w:div w:id="1922324597">
                      <w:marLeft w:val="0"/>
                      <w:marRight w:val="0"/>
                      <w:marTop w:val="0"/>
                      <w:marBottom w:val="0"/>
                      <w:divBdr>
                        <w:top w:val="none" w:sz="0" w:space="0" w:color="auto"/>
                        <w:left w:val="none" w:sz="0" w:space="0" w:color="auto"/>
                        <w:bottom w:val="none" w:sz="0" w:space="0" w:color="auto"/>
                        <w:right w:val="none" w:sz="0" w:space="0" w:color="auto"/>
                      </w:divBdr>
                      <w:divsChild>
                        <w:div w:id="754937983">
                          <w:marLeft w:val="450"/>
                          <w:marRight w:val="0"/>
                          <w:marTop w:val="0"/>
                          <w:marBottom w:val="0"/>
                          <w:divBdr>
                            <w:top w:val="none" w:sz="0" w:space="0" w:color="auto"/>
                            <w:left w:val="none" w:sz="0" w:space="0" w:color="auto"/>
                            <w:bottom w:val="none" w:sz="0" w:space="0" w:color="auto"/>
                            <w:right w:val="none" w:sz="0" w:space="0" w:color="auto"/>
                          </w:divBdr>
                          <w:divsChild>
                            <w:div w:id="1605962003">
                              <w:marLeft w:val="0"/>
                              <w:marRight w:val="0"/>
                              <w:marTop w:val="0"/>
                              <w:marBottom w:val="0"/>
                              <w:divBdr>
                                <w:top w:val="none" w:sz="0" w:space="0" w:color="auto"/>
                                <w:left w:val="none" w:sz="0" w:space="0" w:color="auto"/>
                                <w:bottom w:val="none" w:sz="0" w:space="0" w:color="auto"/>
                                <w:right w:val="none" w:sz="0" w:space="0" w:color="auto"/>
                              </w:divBdr>
                              <w:divsChild>
                                <w:div w:id="949774883">
                                  <w:marLeft w:val="0"/>
                                  <w:marRight w:val="0"/>
                                  <w:marTop w:val="0"/>
                                  <w:marBottom w:val="0"/>
                                  <w:divBdr>
                                    <w:top w:val="none" w:sz="0" w:space="0" w:color="auto"/>
                                    <w:left w:val="none" w:sz="0" w:space="0" w:color="auto"/>
                                    <w:bottom w:val="none" w:sz="0" w:space="0" w:color="auto"/>
                                    <w:right w:val="none" w:sz="0" w:space="0" w:color="auto"/>
                                  </w:divBdr>
                                  <w:divsChild>
                                    <w:div w:id="31924630">
                                      <w:marLeft w:val="0"/>
                                      <w:marRight w:val="0"/>
                                      <w:marTop w:val="0"/>
                                      <w:marBottom w:val="0"/>
                                      <w:divBdr>
                                        <w:top w:val="none" w:sz="0" w:space="0" w:color="auto"/>
                                        <w:left w:val="none" w:sz="0" w:space="0" w:color="auto"/>
                                        <w:bottom w:val="none" w:sz="0" w:space="0" w:color="auto"/>
                                        <w:right w:val="none" w:sz="0" w:space="0" w:color="auto"/>
                                      </w:divBdr>
                                    </w:div>
                                    <w:div w:id="698362531">
                                      <w:marLeft w:val="0"/>
                                      <w:marRight w:val="0"/>
                                      <w:marTop w:val="0"/>
                                      <w:marBottom w:val="0"/>
                                      <w:divBdr>
                                        <w:top w:val="none" w:sz="0" w:space="0" w:color="auto"/>
                                        <w:left w:val="none" w:sz="0" w:space="0" w:color="auto"/>
                                        <w:bottom w:val="none" w:sz="0" w:space="0" w:color="auto"/>
                                        <w:right w:val="none" w:sz="0" w:space="0" w:color="auto"/>
                                      </w:divBdr>
                                      <w:divsChild>
                                        <w:div w:id="1323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wiley.com/WileyCDA/WileyTitle/productCd-0471281565.html" TargetMode="External"/><Relationship Id="rId18" Type="http://schemas.openxmlformats.org/officeDocument/2006/relationships/hyperlink" Target="http://www.e-at-usa.com/index.htm" TargetMode="External"/><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hyperlink" Target="http://www.wiley.com/WileyCDA/WileyTitle/productCd-047138822X.html" TargetMode="External"/><Relationship Id="rId17" Type="http://schemas.openxmlformats.org/officeDocument/2006/relationships/hyperlink" Target="https://www.amazon.com/Introduction-Statistical-Analysis-WILFRID-MASSEY/dp/0070170703" TargetMode="External"/><Relationship Id="rId2" Type="http://schemas.openxmlformats.org/officeDocument/2006/relationships/settings" Target="settings.xml"/><Relationship Id="rId16" Type="http://schemas.openxmlformats.org/officeDocument/2006/relationships/hyperlink" Target="http://asq.org/qic/display-item/index.html?item=1187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s://www.qualitydigest.com/users/quality-technology-corner-john-flaig" TargetMode="External"/><Relationship Id="rId15" Type="http://schemas.openxmlformats.org/officeDocument/2006/relationships/hyperlink" Target="http://asq.org/quality-press/display-item/index.html?item=H0509&amp;xvl=76BK_H0509" TargetMode="External"/><Relationship Id="rId23" Type="http://schemas.openxmlformats.org/officeDocument/2006/relationships/customXml" Target="../customXml/item3.xm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www.hup.harvard.edu/catalog.php?isbn=9780674403413" TargetMode="External"/><Relationship Id="rId2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3E91F60FAC1CA46877C99D21AE94429" ma:contentTypeVersion="1" ma:contentTypeDescription="Crear nuevo documento." ma:contentTypeScope="" ma:versionID="dac0241d6b43cfaeeff7e6f83b5d93ff">
  <xsd:schema xmlns:xsd="http://www.w3.org/2001/XMLSchema" xmlns:xs="http://www.w3.org/2001/XMLSchema" xmlns:p="http://schemas.microsoft.com/office/2006/metadata/properties" xmlns:ns2="2f382b8f-437c-4f41-8f17-2633ac710a0e" targetNamespace="http://schemas.microsoft.com/office/2006/metadata/properties" ma:root="true" ma:fieldsID="06e6fe4f467da396e3fad41a4238e24b" ns2:_="">
    <xsd:import namespace="2f382b8f-437c-4f41-8f17-2633ac710a0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2b8f-437c-4f41-8f17-2633ac710a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f382b8f-437c-4f41-8f17-2633ac710a0e" xsi:nil="true"/>
  </documentManagement>
</p:properties>
</file>

<file path=customXml/itemProps1.xml><?xml version="1.0" encoding="utf-8"?>
<ds:datastoreItem xmlns:ds="http://schemas.openxmlformats.org/officeDocument/2006/customXml" ds:itemID="{E20AC895-4248-4468-A5E6-0DDA23D3A898}"/>
</file>

<file path=customXml/itemProps2.xml><?xml version="1.0" encoding="utf-8"?>
<ds:datastoreItem xmlns:ds="http://schemas.openxmlformats.org/officeDocument/2006/customXml" ds:itemID="{342037CA-9004-4AF5-8D67-CA2BB5D011BB}"/>
</file>

<file path=customXml/itemProps3.xml><?xml version="1.0" encoding="utf-8"?>
<ds:datastoreItem xmlns:ds="http://schemas.openxmlformats.org/officeDocument/2006/customXml" ds:itemID="{3C631161-97A6-48BF-99F2-F878DB25F1CD}"/>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Mc Calla Vaz</dc:creator>
  <cp:keywords/>
  <dc:description/>
  <cp:lastModifiedBy>Miguel Mc Calla Vaz</cp:lastModifiedBy>
  <cp:revision>2</cp:revision>
  <dcterms:created xsi:type="dcterms:W3CDTF">2017-10-05T17:46:00Z</dcterms:created>
  <dcterms:modified xsi:type="dcterms:W3CDTF">2017-10-05T17:46:00Z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0x010100B3E91F60FAC1CA46877C99D21AE94429</vt:lpwstr>
  </property>
</Properties>
</file>