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Social Media Marketing Performance Analytics (2024)</w:t>
      </w:r>
    </w:p>
    <w:p>
      <w:pPr>
        <w:spacing w:before="0" w:after="240" w:line="276" w:lineRule="auto"/>
        <w:jc w:val="center"/>
      </w:pPr>
      <w:r>
        <w:rPr>
          <w:i/>
        </w:rPr>
        <w:t>Executive Report for Leadership Review</w:t>
      </w:r>
    </w:p>
    <w:p>
      <w:pPr>
        <w:spacing w:before="0" w:after="360" w:line="276" w:lineRule="auto"/>
        <w:jc w:val="center"/>
      </w:pPr>
      <w:r>
        <w:t>Prepared by: Data Analyst Candidate    |    Date: 2026-02-13</w:t>
      </w:r>
    </w:p>
    <w:p>
      <w:pPr>
        <w:pStyle w:val="Heading1"/>
      </w:pPr>
      <w:r>
        <w:t>1. Executive Summary</w:t>
      </w:r>
    </w:p>
    <w:p>
      <w:pPr>
        <w:spacing w:before="0" w:after="240" w:line="276" w:lineRule="auto"/>
      </w:pPr>
      <w:r>
        <w:t>This report summarizes cross-platform social media performance in 2024 and identifies the key drivers of reach, engagement, and click-through behavior. The analysis consolidates post-level performance across Facebook, Instagram, LinkedIn, TikTok, X.com, and YouTube, and evaluates differences by content type, content category, posting time (day/hour), hashtags, and region. Because click/CTR tracking is not available for every post, conversion results are reported as Tracked Only and interpreted alongside Tracking Coverage.</w:t>
      </w:r>
    </w:p>
    <w:p>
      <w:pPr>
        <w:pStyle w:val="Heading1"/>
      </w:pPr>
      <w:r>
        <w:t>2. Topline KPIs (All Platforms, 2024)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Engagement</w:t>
            </w:r>
          </w:p>
        </w:tc>
        <w:tc>
          <w:tcPr>
            <w:tcW w:type="dxa" w:w="4320"/>
          </w:tcPr>
          <w:p>
            <w:r>
              <w:t>646M</w:t>
            </w:r>
          </w:p>
        </w:tc>
      </w:tr>
      <w:tr>
        <w:tc>
          <w:tcPr>
            <w:tcW w:type="dxa" w:w="4320"/>
          </w:tcPr>
          <w:p>
            <w:r>
              <w:t>Total Views</w:t>
            </w:r>
          </w:p>
        </w:tc>
        <w:tc>
          <w:tcPr>
            <w:tcW w:type="dxa" w:w="4320"/>
          </w:tcPr>
          <w:p>
            <w:r>
              <w:t>4.8B</w:t>
            </w:r>
          </w:p>
        </w:tc>
      </w:tr>
      <w:tr>
        <w:tc>
          <w:tcPr>
            <w:tcW w:type="dxa" w:w="4320"/>
          </w:tcPr>
          <w:p>
            <w:r>
              <w:t>Total Impressions</w:t>
            </w:r>
          </w:p>
        </w:tc>
        <w:tc>
          <w:tcPr>
            <w:tcW w:type="dxa" w:w="4320"/>
          </w:tcPr>
          <w:p>
            <w:r>
              <w:t>5.77B</w:t>
            </w:r>
          </w:p>
        </w:tc>
      </w:tr>
      <w:tr>
        <w:tc>
          <w:tcPr>
            <w:tcW w:type="dxa" w:w="4320"/>
          </w:tcPr>
          <w:p>
            <w:r>
              <w:t>Average Engagement Rate</w:t>
            </w:r>
          </w:p>
        </w:tc>
        <w:tc>
          <w:tcPr>
            <w:tcW w:type="dxa" w:w="4320"/>
          </w:tcPr>
          <w:p>
            <w:r>
              <w:t>15.28%</w:t>
            </w:r>
          </w:p>
        </w:tc>
      </w:tr>
      <w:tr>
        <w:tc>
          <w:tcPr>
            <w:tcW w:type="dxa" w:w="4320"/>
          </w:tcPr>
          <w:p>
            <w:r>
              <w:t>Average CTR (Tracked Only)</w:t>
            </w:r>
          </w:p>
        </w:tc>
        <w:tc>
          <w:tcPr>
            <w:tcW w:type="dxa" w:w="4320"/>
          </w:tcPr>
          <w:p>
            <w:r>
              <w:t>0.61%</w:t>
            </w:r>
          </w:p>
        </w:tc>
      </w:tr>
    </w:tbl>
    <w:p>
      <w:r>
        <w:t>Note: CTR is reported as Tracked Only. Tracking Coverage should be monitored when interpreting click-based insights.</w:t>
      </w:r>
    </w:p>
    <w:p/>
    <w:p>
      <w:pPr>
        <w:pStyle w:val="Heading1"/>
      </w:pPr>
      <w:r>
        <w:t>3. Key Findings</w:t>
      </w:r>
    </w:p>
    <w:p>
      <w:pPr>
        <w:pStyle w:val="Heading2"/>
      </w:pPr>
      <w:r>
        <w:t>3.1 Content Performance</w:t>
      </w:r>
    </w:p>
    <w:p>
      <w:pPr>
        <w:pStyle w:val="ListBullet"/>
        <w:spacing w:before="0" w:after="40" w:line="276" w:lineRule="auto"/>
      </w:pPr>
      <w:r>
        <w:t>Content category efficiency differs materially: Educational and Customer Story content show the highest engagement efficiency (Engagement per 1K Impressions).</w:t>
      </w:r>
    </w:p>
    <w:p>
      <w:pPr>
        <w:pStyle w:val="ListBullet"/>
        <w:spacing w:before="0" w:after="40" w:line="276" w:lineRule="auto"/>
      </w:pPr>
      <w:r>
        <w:t>Hashtags that maximize impressions (reach) are not always the same as those that maximize clicks (conversion). Separate awareness vs conversion tagging strategies are recommended.</w:t>
      </w:r>
    </w:p>
    <w:p>
      <w:pPr>
        <w:pStyle w:val="ListBullet"/>
        <w:spacing w:before="0" w:after="40" w:line="276" w:lineRule="auto"/>
      </w:pPr>
      <w:r>
        <w:t>Post type performance varies by platform; therefore, content format should be tailored by platform rather than using a single global mix.</w:t>
      </w:r>
    </w:p>
    <w:p>
      <w:r>
        <w:t>Content category efficiency (Engagement per 1K Impressions):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Content Category</w:t>
            </w:r>
          </w:p>
        </w:tc>
        <w:tc>
          <w:tcPr>
            <w:tcW w:type="dxa" w:w="4320"/>
          </w:tcPr>
          <w:p>
            <w:r>
              <w:t>Engagement per 1K Impressions</w:t>
            </w:r>
          </w:p>
        </w:tc>
      </w:tr>
      <w:tr>
        <w:tc>
          <w:tcPr>
            <w:tcW w:type="dxa" w:w="4320"/>
          </w:tcPr>
          <w:p>
            <w:r>
              <w:t>Educational</w:t>
            </w:r>
          </w:p>
        </w:tc>
        <w:tc>
          <w:tcPr>
            <w:tcW w:type="dxa" w:w="4320"/>
          </w:tcPr>
          <w:p>
            <w:r>
              <w:t>166.0</w:t>
            </w:r>
          </w:p>
        </w:tc>
      </w:tr>
      <w:tr>
        <w:tc>
          <w:tcPr>
            <w:tcW w:type="dxa" w:w="4320"/>
          </w:tcPr>
          <w:p>
            <w:r>
              <w:t>Customer Story</w:t>
            </w:r>
          </w:p>
        </w:tc>
        <w:tc>
          <w:tcPr>
            <w:tcW w:type="dxa" w:w="4320"/>
          </w:tcPr>
          <w:p>
            <w:r>
              <w:t>165.5</w:t>
            </w:r>
          </w:p>
        </w:tc>
      </w:tr>
      <w:tr>
        <w:tc>
          <w:tcPr>
            <w:tcW w:type="dxa" w:w="4320"/>
          </w:tcPr>
          <w:p>
            <w:r>
              <w:t>Event / Webinar</w:t>
            </w:r>
          </w:p>
        </w:tc>
        <w:tc>
          <w:tcPr>
            <w:tcW w:type="dxa" w:w="4320"/>
          </w:tcPr>
          <w:p>
            <w:r>
              <w:t>117.0</w:t>
            </w:r>
          </w:p>
        </w:tc>
      </w:tr>
      <w:tr>
        <w:tc>
          <w:tcPr>
            <w:tcW w:type="dxa" w:w="4320"/>
          </w:tcPr>
          <w:p>
            <w:r>
              <w:t>Product Promotion</w:t>
            </w:r>
          </w:p>
        </w:tc>
        <w:tc>
          <w:tcPr>
            <w:tcW w:type="dxa" w:w="4320"/>
          </w:tcPr>
          <w:p>
            <w:r>
              <w:t>96.5</w:t>
            </w:r>
          </w:p>
        </w:tc>
      </w:tr>
      <w:tr>
        <w:tc>
          <w:tcPr>
            <w:tcW w:type="dxa" w:w="4320"/>
          </w:tcPr>
          <w:p>
            <w:r>
              <w:t>Entertainment</w:t>
            </w:r>
          </w:p>
        </w:tc>
        <w:tc>
          <w:tcPr>
            <w:tcW w:type="dxa" w:w="4320"/>
          </w:tcPr>
          <w:p>
            <w:r>
              <w:t>62.1</w:t>
            </w:r>
          </w:p>
        </w:tc>
      </w:tr>
    </w:tbl>
    <w:p/>
    <w:p>
      <w:pPr>
        <w:pStyle w:val="Heading2"/>
      </w:pPr>
      <w:r>
        <w:t>3.2 Time &amp; Region Intelligence</w:t>
      </w:r>
    </w:p>
    <w:p>
      <w:pPr>
        <w:pStyle w:val="ListBullet"/>
        <w:spacing w:before="0" w:after="40" w:line="276" w:lineRule="auto"/>
      </w:pPr>
      <w:r>
        <w:t>Posting efficiency changes by day and hour. Heatmap analysis highlights consistent high-performing windows and avoids reliance on a single average posting time.</w:t>
      </w:r>
    </w:p>
    <w:p>
      <w:pPr>
        <w:pStyle w:val="ListBullet"/>
        <w:spacing w:before="0" w:after="40" w:line="276" w:lineRule="auto"/>
      </w:pPr>
      <w:r>
        <w:t>Regional conversion intent differs: Tracked CTR is highest in Japan (0.68%) and the UK (0.65%), and lowest in the USA (0.55%).</w:t>
      </w:r>
    </w:p>
    <w:p>
      <w:pPr>
        <w:pStyle w:val="ListBullet"/>
        <w:spacing w:before="0" w:after="40" w:line="276" w:lineRule="auto"/>
      </w:pPr>
      <w:r>
        <w:t>Video consumption is consistently higher than live-stream consumption across regions, indicating that video should remain the default format while live is reserved for targeted use cases.</w:t>
      </w:r>
    </w:p>
    <w:p>
      <w:r>
        <w:t>Tracked CTR by Region (Top to Bottom):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Avg CTR (Tracked Only)</w:t>
            </w:r>
          </w:p>
        </w:tc>
      </w:tr>
      <w:tr>
        <w:tc>
          <w:tcPr>
            <w:tcW w:type="dxa" w:w="4320"/>
          </w:tcPr>
          <w:p>
            <w:r>
              <w:t>Japan</w:t>
            </w:r>
          </w:p>
        </w:tc>
        <w:tc>
          <w:tcPr>
            <w:tcW w:type="dxa" w:w="4320"/>
          </w:tcPr>
          <w:p>
            <w:r>
              <w:t>0.68%</w:t>
            </w:r>
          </w:p>
        </w:tc>
      </w:tr>
      <w:tr>
        <w:tc>
          <w:tcPr>
            <w:tcW w:type="dxa" w:w="4320"/>
          </w:tcPr>
          <w:p>
            <w:r>
              <w:t>UK</w:t>
            </w:r>
          </w:p>
        </w:tc>
        <w:tc>
          <w:tcPr>
            <w:tcW w:type="dxa" w:w="4320"/>
          </w:tcPr>
          <w:p>
            <w:r>
              <w:t>0.65%</w:t>
            </w:r>
          </w:p>
        </w:tc>
      </w:tr>
      <w:tr>
        <w:tc>
          <w:tcPr>
            <w:tcW w:type="dxa" w:w="4320"/>
          </w:tcPr>
          <w:p>
            <w:r>
              <w:t>Germany</w:t>
            </w:r>
          </w:p>
        </w:tc>
        <w:tc>
          <w:tcPr>
            <w:tcW w:type="dxa" w:w="4320"/>
          </w:tcPr>
          <w:p>
            <w:r>
              <w:t>0.63%</w:t>
            </w:r>
          </w:p>
        </w:tc>
      </w:tr>
      <w:tr>
        <w:tc>
          <w:tcPr>
            <w:tcW w:type="dxa" w:w="4320"/>
          </w:tcPr>
          <w:p>
            <w:r>
              <w:t>Australia</w:t>
            </w:r>
          </w:p>
        </w:tc>
        <w:tc>
          <w:tcPr>
            <w:tcW w:type="dxa" w:w="4320"/>
          </w:tcPr>
          <w:p>
            <w:r>
              <w:t>0.61%</w:t>
            </w:r>
          </w:p>
        </w:tc>
      </w:tr>
      <w:tr>
        <w:tc>
          <w:tcPr>
            <w:tcW w:type="dxa" w:w="4320"/>
          </w:tcPr>
          <w:p>
            <w:r>
              <w:t>Brazil</w:t>
            </w:r>
          </w:p>
        </w:tc>
        <w:tc>
          <w:tcPr>
            <w:tcW w:type="dxa" w:w="4320"/>
          </w:tcPr>
          <w:p>
            <w:r>
              <w:t>0.60%</w:t>
            </w:r>
          </w:p>
        </w:tc>
      </w:tr>
      <w:tr>
        <w:tc>
          <w:tcPr>
            <w:tcW w:type="dxa" w:w="4320"/>
          </w:tcPr>
          <w:p>
            <w:r>
              <w:t>India</w:t>
            </w:r>
          </w:p>
        </w:tc>
        <w:tc>
          <w:tcPr>
            <w:tcW w:type="dxa" w:w="4320"/>
          </w:tcPr>
          <w:p>
            <w:r>
              <w:t>0.60%</w:t>
            </w:r>
          </w:p>
        </w:tc>
      </w:tr>
      <w:tr>
        <w:tc>
          <w:tcPr>
            <w:tcW w:type="dxa" w:w="4320"/>
          </w:tcPr>
          <w:p>
            <w:r>
              <w:t>Canada</w:t>
            </w:r>
          </w:p>
        </w:tc>
        <w:tc>
          <w:tcPr>
            <w:tcW w:type="dxa" w:w="4320"/>
          </w:tcPr>
          <w:p>
            <w:r>
              <w:t>0.58%</w:t>
            </w:r>
          </w:p>
        </w:tc>
      </w:tr>
      <w:tr>
        <w:tc>
          <w:tcPr>
            <w:tcW w:type="dxa" w:w="4320"/>
          </w:tcPr>
          <w:p>
            <w:r>
              <w:t>USA</w:t>
            </w:r>
          </w:p>
        </w:tc>
        <w:tc>
          <w:tcPr>
            <w:tcW w:type="dxa" w:w="4320"/>
          </w:tcPr>
          <w:p>
            <w:r>
              <w:t>0.55%</w:t>
            </w:r>
          </w:p>
        </w:tc>
      </w:tr>
    </w:tbl>
    <w:p/>
    <w:p>
      <w:pPr>
        <w:pStyle w:val="Heading1"/>
      </w:pPr>
      <w:r>
        <w:t>4. Recommendations</w:t>
      </w:r>
    </w:p>
    <w:p>
      <w:pPr>
        <w:pStyle w:val="ListNumber"/>
        <w:spacing w:before="0" w:after="40" w:line="276" w:lineRule="auto"/>
      </w:pPr>
      <w:r>
        <w:rPr>
          <w:b/>
        </w:rPr>
        <w:t>Adopt platform-specific format playbooks</w:t>
      </w:r>
    </w:p>
    <w:p>
      <w:pPr>
        <w:spacing w:before="0" w:after="120" w:line="276" w:lineRule="auto"/>
      </w:pPr>
      <w:r>
        <w:t>Use the platform x post type view to prioritize the best-performing formats per platform; avoid a single global format strategy.</w:t>
      </w:r>
    </w:p>
    <w:p>
      <w:pPr>
        <w:pStyle w:val="ListNumber"/>
        <w:spacing w:before="0" w:after="40" w:line="276" w:lineRule="auto"/>
      </w:pPr>
      <w:r>
        <w:rPr>
          <w:b/>
        </w:rPr>
        <w:t>Shift content mix toward high-efficiency categories</w:t>
      </w:r>
    </w:p>
    <w:p>
      <w:pPr>
        <w:spacing w:before="0" w:after="120" w:line="276" w:lineRule="auto"/>
      </w:pPr>
      <w:r>
        <w:t>Increase publishing share for Educational and Customer Story content (top Eng/1K). Redesign low-efficiency categories before scaling.</w:t>
      </w:r>
    </w:p>
    <w:p>
      <w:pPr>
        <w:pStyle w:val="ListNumber"/>
        <w:spacing w:before="0" w:after="40" w:line="276" w:lineRule="auto"/>
      </w:pPr>
      <w:r>
        <w:rPr>
          <w:b/>
        </w:rPr>
        <w:t>Operationalize posting windows</w:t>
      </w:r>
    </w:p>
    <w:p>
      <w:pPr>
        <w:spacing w:before="0" w:after="120" w:line="276" w:lineRule="auto"/>
      </w:pPr>
      <w:r>
        <w:t>Use the day x hour heatmap to define primary and secondary posting windows. Maintain platform-specific schedules based on hourly patterns.</w:t>
      </w:r>
    </w:p>
    <w:p>
      <w:pPr>
        <w:pStyle w:val="ListNumber"/>
        <w:spacing w:before="0" w:after="40" w:line="276" w:lineRule="auto"/>
      </w:pPr>
      <w:r>
        <w:rPr>
          <w:b/>
        </w:rPr>
        <w:t>Prioritize CTA-driven content in high-intent regions</w:t>
      </w:r>
    </w:p>
    <w:p>
      <w:pPr>
        <w:spacing w:before="0" w:after="120" w:line="276" w:lineRule="auto"/>
      </w:pPr>
      <w:r>
        <w:t>Focus conversion-oriented posts and landing pages in regions with higher tracked CTR (e.g., Japan, UK).</w:t>
      </w:r>
    </w:p>
    <w:p>
      <w:pPr>
        <w:pStyle w:val="ListNumber"/>
        <w:spacing w:before="0" w:after="40" w:line="276" w:lineRule="auto"/>
      </w:pPr>
      <w:r>
        <w:rPr>
          <w:b/>
        </w:rPr>
        <w:t>Improve measurement discipline</w:t>
      </w:r>
    </w:p>
    <w:p>
      <w:pPr>
        <w:spacing w:before="0" w:after="120" w:line="276" w:lineRule="auto"/>
      </w:pPr>
      <w:r>
        <w:t>Standardize link tracking (UTMs) to increase Tracking Coverage and make CTR comparable across platforms, regions, and campaigns.</w:t>
      </w:r>
    </w:p>
    <w:p>
      <w:pPr>
        <w:pStyle w:val="Heading1"/>
      </w:pPr>
      <w:r>
        <w:t>5. Methodology &amp; Data Model</w:t>
      </w:r>
    </w:p>
    <w:p>
      <w:pPr>
        <w:spacing w:before="0" w:after="200" w:line="276" w:lineRule="auto"/>
      </w:pPr>
      <w:r>
        <w:t>Workflow: Python (EDA + Cleaning) -&gt; SQL (Business Analysis) -&gt; Power BI (Star Schema + DAX Measures). Power BI uses a fact table for post performance and dimension tables for Date, Platform, Region, and Content attributes to enable fast slicing and consistent metrics.</w:t>
      </w:r>
    </w:p>
    <w:p>
      <w:pPr>
        <w:pStyle w:val="Heading1"/>
      </w:pPr>
      <w:r>
        <w:t>6. Data Quality Notes</w:t>
      </w:r>
    </w:p>
    <w:p>
      <w:pPr>
        <w:pStyle w:val="ListBullet"/>
        <w:spacing w:before="0" w:after="40" w:line="276" w:lineRule="auto"/>
      </w:pPr>
      <w:r>
        <w:t>CTR/Clicks are not available for all posts. Conversion metrics are reported as Tracked Only and should be interpreted with Tracking Coverage.</w:t>
      </w:r>
    </w:p>
    <w:p>
      <w:pPr>
        <w:pStyle w:val="ListBullet"/>
        <w:spacing w:before="0" w:after="40" w:line="276" w:lineRule="auto"/>
      </w:pPr>
      <w:r>
        <w:t>Volume-driven comparisons can be biased by posting frequency. Efficiency metrics (Engagement per 1K Impressions) are used to support fair comparisons.</w:t>
      </w:r>
    </w:p>
    <w:p>
      <w:pPr>
        <w:pStyle w:val="ListBullet"/>
        <w:spacing w:before="0" w:after="40" w:line="276" w:lineRule="auto"/>
      </w:pPr>
      <w:r>
        <w:t>Hashtag performance can be sensitive to sample size; low-volume hashtags should be validated before scaling.</w:t>
      </w:r>
    </w:p>
    <w:p>
      <w:pPr>
        <w:pStyle w:val="Heading1"/>
      </w:pPr>
      <w:r>
        <w:t>Appendix: Dashboard Pages</w:t>
      </w:r>
    </w:p>
    <w:p>
      <w:r>
        <w:drawing>
          <wp:inline xmlns:a="http://schemas.openxmlformats.org/drawingml/2006/main" xmlns:pic="http://schemas.openxmlformats.org/drawingml/2006/picture">
            <wp:extent cx="5943600" cy="34073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aca780-1466-4f7d-acdc-e7353d1223f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i/>
        </w:rPr>
        <w:t>Figure A1. Executive Overview</w:t>
      </w:r>
    </w:p>
    <w:p>
      <w:r>
        <w:drawing>
          <wp:inline xmlns:a="http://schemas.openxmlformats.org/drawingml/2006/main" xmlns:pic="http://schemas.openxmlformats.org/drawingml/2006/picture">
            <wp:extent cx="5943600" cy="36520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0cd183-7d23-41b7-b2bc-6087af70913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i/>
        </w:rPr>
        <w:t>Figure A2. Content Performance</w:t>
      </w:r>
    </w:p>
    <w:p>
      <w:r>
        <w:drawing>
          <wp:inline xmlns:a="http://schemas.openxmlformats.org/drawingml/2006/main" xmlns:pic="http://schemas.openxmlformats.org/drawingml/2006/picture">
            <wp:extent cx="5943600" cy="38012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86ebc2-b21c-428b-9f9d-add8e082015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i/>
        </w:rPr>
        <w:t>Figure A3. Time 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