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0308-036-091-007.pdf</w:t>
      </w:r>
      <w:r>
        <w:rPr>
          <w:rtl/>
        </w:rPr>
        <w:t xml:space="preserve"> </w:t>
      </w:r>
      <w:r>
        <w:rPr>
          <w:rtl/>
        </w:rPr>
        <w:t xml:space="preserve">-</w:t>
      </w:r>
      <w:r>
        <w:rPr>
          <w:rtl/>
        </w:rPr>
        <w:t xml:space="preserve"> </w:t>
      </w:r>
      <w:r>
        <w:rPr>
          <w:rtl/>
        </w:rPr>
        <w:t xml:space="preserve">Page</w:t>
      </w:r>
      <w:r>
        <w:rPr>
          <w:rtl/>
        </w:rPr>
        <w:t xml:space="preserve"> </w:t>
      </w:r>
      <w:r>
        <w:rPr>
          <w:rtl/>
        </w:rPr>
        <w:t xml:space="preserve">1</w:t>
      </w:r>
    </w:p>
    <w:bookmarkStart w:id="30" w:name="journal-sharia-and-law"/>
    <w:p>
      <w:pPr>
        <w:pStyle w:val="Heading1"/>
        <w:bidi/>
      </w:pPr>
      <w:r>
        <w:rPr>
          <w:rtl/>
        </w:rPr>
        <w:t xml:space="preserve">Journal Sharia and Law</w:t>
      </w:r>
    </w:p>
    <w:p>
      <w:pPr>
        <w:bidi/>
      </w:pPr>
      <w:r>
        <w:rPr>
          <w:rtl/>
        </w:rPr>
        <w:t xml:space="preserve">Volume 2022</w:t>
      </w:r>
      <w:r>
        <w:br/>
      </w:r>
      <w:r>
        <w:rPr>
          <w:rtl/>
        </w:rPr>
        <w:t xml:space="preserve">Number 91 Year 36, Issue No. 91 July 2022</w:t>
      </w:r>
      <w:r>
        <w:rPr>
          <w:rtl/>
        </w:rPr>
        <w:t xml:space="preserve"> </w:t>
      </w:r>
      <w:r>
        <w:rPr>
          <w:rtl/>
        </w:rPr>
        <w:t xml:space="preserve">Article 7</w:t>
      </w:r>
    </w:p>
    <w:p>
      <w:pPr>
        <w:bidi/>
      </w:pPr>
      <w:r>
        <w:rPr>
          <w:rtl/>
        </w:rPr>
        <w:t xml:space="preserve">January 2022</w:t>
      </w:r>
    </w:p>
    <w:bookmarkStart w:id="24" w:name="X73d703a15365db15715a265eb2adf32d92b9a71"/>
    <w:p>
      <w:pPr>
        <w:pStyle w:val="Heading2"/>
        <w:bidi/>
      </w:pPr>
      <w:r>
        <w:rPr>
          <w:rtl/>
        </w:rPr>
        <w:t xml:space="preserve">Foreclosure in English law: A Comparative Analytical Study of Islamic Jurisprudence and Comparative Law</w:t>
      </w:r>
    </w:p>
    <w:p>
      <w:pPr>
        <w:bidi/>
      </w:pPr>
      <w:r>
        <w:rPr>
          <w:rtl/>
        </w:rPr>
        <w:t xml:space="preserve">Dr. Younis Salah Eddin Ali</w:t>
      </w:r>
      <w:r>
        <w:br/>
      </w:r>
      <w:r>
        <w:rPr>
          <w:rtl/>
        </w:rPr>
        <w:t xml:space="preserve">Assistant Professor of Private Law, College of Law, International Relations and Diplomacy, Cihan University, Erbil, Iraq, younis888_sss@yahoo.com</w:t>
      </w:r>
    </w:p>
    <w:p>
      <w:pPr>
        <w:bidi/>
      </w:pPr>
      <w:r>
        <w:rPr>
          <w:rtl/>
        </w:rPr>
        <w:t xml:space="preserve">Follow this and additional works at:</w:t>
      </w:r>
      <w:r>
        <w:rPr>
          <w:rtl/>
        </w:rPr>
        <w:t xml:space="preserve"> </w:t>
      </w:r>
      <w:hyperlink r:id="rId20">
        <w:r>
          <w:rPr>
            <w:rStyle w:val="Hyperlink"/>
            <w:rtl/>
          </w:rPr>
          <w:t xml:space="preserve">https://scholarworks.uaeu.ac.ae/sharia_and_law</w:t>
        </w:r>
      </w:hyperlink>
    </w:p>
    <w:p>
      <w:pPr>
        <w:bidi/>
      </w:pPr>
      <w:r>
        <w:rPr>
          <w:rtl/>
        </w:rPr>
        <w:t xml:space="preserve">Part of the Civil Law Commons</w:t>
      </w:r>
    </w:p>
    <w:bookmarkStart w:id="23"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w:t>
      </w:r>
      <w:r>
        <w:rPr>
          <w:rtl/>
        </w:rPr>
        <w:t xml:space="preserve"> </w:t>
      </w:r>
      <w:r>
        <w:rPr>
          <w:rtl/>
          <w:iCs/>
          <w:i/>
        </w:rPr>
        <w:t xml:space="preserve">Journal Sharia and Law</w:t>
      </w:r>
      <w:r>
        <w:rPr>
          <w:rtl/>
        </w:rPr>
        <w:t xml:space="preserve">: Vol. 2022: No. 91, Article 7.</w:t>
      </w:r>
      <w:r>
        <w:br/>
      </w:r>
      <w:r>
        <w:rPr>
          <w:rtl/>
        </w:rPr>
        <w:t xml:space="preserve">Available at:</w:t>
      </w:r>
      <w:r>
        <w:rPr>
          <w:rtl/>
        </w:rPr>
        <w:t xml:space="preserve"> </w:t>
      </w:r>
      <w:hyperlink r:id="rId21">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2">
        <w:r>
          <w:rPr>
            <w:rStyle w:val="Hyperlink"/>
            <w:rtl/>
          </w:rPr>
          <w:t xml:space="preserve">sljournal@uaeu.ac.ae</w:t>
        </w:r>
      </w:hyperlink>
      <w:r>
        <w:rPr>
          <w:rtl/>
        </w:rPr>
        <w:t xml:space="preserve">.</w:t>
      </w:r>
    </w:p>
    <w:p>
      <w:r>
        <w:pict>
          <v:rect style="width:0;height:1.5pt" o:hralign="center" o:hrstd="t" o:hr="t"/>
        </w:pict>
      </w:r>
    </w:p>
    <w:p>
      <w:pPr>
        <w:bidi/>
      </w:pPr>
      <w:r>
        <w:rPr>
          <w:rtl/>
        </w:rPr>
        <w:t xml:space="preserve">Journal Sharia and Law, Vol. 2022, No. 91 [2022], Art. 7</w:t>
      </w:r>
    </w:p>
    <w:bookmarkEnd w:id="23"/>
    <w:bookmarkEnd w:id="24"/>
    <w:bookmarkStart w:id="25" w:name="X7bcfa86e6e691285dde13bca14d27d7eed58d5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w:t>
      </w:r>
      <w:r>
        <w:rPr>
          <w:rtl/>
        </w:rPr>
        <w:t xml:space="preserve"> </w:t>
      </w:r>
      <w:r>
        <w:rPr>
          <w:rtl/>
          <w:vertAlign w:val="superscript"/>
        </w:rPr>
        <w:t xml:space="preserve">(١١)</w:t>
      </w:r>
      <w:r>
        <w:rPr>
          <w:rtl/>
        </w:rPr>
        <w:t xml:space="preserve"> </w:t>
      </w:r>
      <w:r>
        <w:rPr>
          <w:rtl/>
        </w:rPr>
        <w:t xml:space="preserve">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w:t>
      </w:r>
      <w:r>
        <w:rPr>
          <w:rtl/>
        </w:rPr>
        <w:t xml:space="preserve"> </w:t>
      </w:r>
      <w:r>
        <w:rPr>
          <w:rtl/>
          <w:vertAlign w:val="superscript"/>
        </w:rPr>
        <w:t xml:space="preserve">(١٢)</w:t>
      </w:r>
      <w:r>
        <w:rPr>
          <w:rtl/>
        </w:rPr>
        <w:t xml:space="preserve"> </w:t>
      </w:r>
      <w:r>
        <w:rPr>
          <w:rtl/>
        </w:rPr>
        <w:t xml:space="preserve">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w:t>
      </w:r>
      <w:r>
        <w:rPr>
          <w:rtl/>
        </w:rPr>
        <w:t xml:space="preserve"> </w:t>
      </w:r>
      <w:r>
        <w:rPr>
          <w:rtl/>
          <w:vertAlign w:val="superscript"/>
        </w:rPr>
        <w:t xml:space="preserve">(١٣)</w:t>
      </w:r>
      <w:r>
        <w:rPr>
          <w:rtl/>
        </w:rPr>
        <w:t xml:space="preserve"> </w:t>
      </w:r>
      <w:r>
        <w:rPr>
          <w:rtl/>
        </w:rPr>
        <w:t xml:space="preserve">جانب من فقه قانون</w:t>
      </w:r>
    </w:p>
    <w:p>
      <w:r>
        <w:pict>
          <v:rect style="width:0;height:1.5pt" o:hralign="center" o:hrstd="t" o:hr="t"/>
        </w:pict>
      </w:r>
    </w:p>
    <w:p>
      <w:pPr>
        <w:numPr>
          <w:ilvl w:val="0"/>
          <w:numId w:val="1001"/>
        </w:numPr>
        <w:pStyle w:val="Compact"/>
        <w:bidi/>
      </w:pPr>
      <w:r>
        <w:rPr>
          <w:rtl/>
        </w:rPr>
        <w:t xml:space="preserve">محمد طه البشير ود. غني حسون طه. الحقوق العينية الجزء الثاني. الحقوق العينية التبعية. وزارة التعليم العالي. بغداد. ۱۹۸۲، ص ٤٢٩ و ٤٣١.</w:t>
      </w:r>
    </w:p>
    <w:p>
      <w:pPr>
        <w:numPr>
          <w:ilvl w:val="0"/>
          <w:numId w:val="1001"/>
        </w:numPr>
        <w:pStyle w:val="Compact"/>
        <w:bidi/>
      </w:pPr>
      <w:r>
        <w:rPr>
          <w:rtl/>
        </w:rPr>
        <w:t xml:space="preserve">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numPr>
          <w:ilvl w:val="0"/>
          <w:numId w:val="1001"/>
        </w:numPr>
        <w:pStyle w:val="Compact"/>
        <w:bidi/>
      </w:pPr>
      <w:r>
        <w:rPr>
          <w:rtl/>
        </w:rPr>
        <w:t xml:space="preserve">د. وهبة الزحيلي. العقود المسماة في قانون المعاملات المدنية الإماراتي والقانون المدني الأردني. دار الفكر للطباعة السنة السادسة والثلاثون - مجلة جامعة الإمارات ]</w:t>
      </w:r>
    </w:p>
    <w:p>
      <w:pPr>
        <w:bidi/>
      </w:pPr>
      <w:r>
        <w:rPr>
          <w:rtl/>
        </w:rPr>
        <w:t xml:space="preserve">414</w:t>
      </w:r>
    </w:p>
    <w:p>
      <w:pPr>
        <w:bidi/>
      </w:pPr>
      <w:r>
        <w:rPr>
          <w:rtl/>
        </w:rPr>
        <w:t xml:space="preserve">https://scholarworks.uaeu.ac.ae/sharia_and_law/vol2022/iss91/7</w:t>
      </w:r>
    </w:p>
    <w:p>
      <w:pPr>
        <w:bidi/>
      </w:pPr>
      <w:r>
        <w:rPr>
          <w:rtl/>
        </w:rPr>
        <w:t xml:space="preserve">8</w:t>
      </w:r>
    </w:p>
    <w:p>
      <w:r>
        <w:pict>
          <v:rect style="width:0;height:1.5pt" o:hralign="center" o:hrstd="t" o:hr="t"/>
        </w:pict>
      </w:r>
    </w:p>
    <w:p>
      <w:pPr>
        <w:bidi/>
      </w:pPr>
      <w:r>
        <w:rPr>
          <w:rtl/>
        </w:rPr>
        <w:t xml:space="preserve">Ali: ??? ????? ?? ??????? ????????? ????? ??????? ?????? ?????? ???????? ???????? ???????</w:t>
      </w:r>
    </w:p>
    <w:bookmarkEnd w:id="25"/>
    <w:bookmarkStart w:id="26" w:name="د.يونس-صلاح-الدين-علي"/>
    <w:p>
      <w:pPr>
        <w:pStyle w:val="Heading2"/>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 في العقد تملك المرهون في مقابل دينه، إن لم يؤده الراهن في الأجل المعين. أما شرط الطريق الممهد أو الاتفاق على بيع العقار المرهون دون المرور بالإجراءات القانونية، فقد عرفه جانب من فقه القانون المدني العراقي (١٤) بأنه اشتراط الدائن المرتهن على المدين الراهن قبوله إجراء بيع العقار المرهون دون اتباع الإجراءات التي قررها القانون وعرفه جانب من فقه قانون المعاملات المدنية الاتحادي الإماراتي (١٥) بأنه شرط باطل يشترط بمقتضاه المرتهن على الراهن في العقد بيع المال المرهون دون مراعاة الإجراءات القانونية، فالرهن صحيح والشرط باطل. كما عرفه الفقيه السنهوري (١٦) أيضاً بأنه اتفاق الدائن المرتهن مع الراهن مديناً كان أم كفيلاً عينياً، على أنه عند حلول أجل الدين وعدم الوفاء به يجوز بيع العقار المرهون بالممارسة أو بأية طريقة كانت دون اتباع الإجراءات التي فرضها تقنين المرافعات في البيوع الجبرية. كما يتبين لنا أيضاً من نص المادة (۱۳۰۱ ) من القانون المدني العراقي، والمادة ( ١٤٢٠) من قانون المعاملات المدنية الاتحادي الإماراتي، والتعاريف الفقهية التي أوردناها بأن غلق الرهن قد يكون في صورة شرط اتفاقي يدرج في عقد الرهن ويقوم بوظيفة محددة تتمثل بالسماح للدائن المرتهن تملك المال المرهون، عند عدم استيفاء حقه المتمثل بالدين الموثق بالرهن وقت حلول ميعاد الاستحقاق. فيعني غلق الرهن في هذه الحالة ملك المرتهن للمرهون واستحقاقه له (١٧). فيقال غلق الرهن</w:t>
      </w:r>
    </w:p>
    <w:p>
      <w:pPr>
        <w:bidi/>
      </w:pPr>
      <w:r>
        <w:rPr>
          <w:rtl/>
        </w:rPr>
        <w:t xml:space="preserve">والتوزيع والنشر دمشق الطبعة الأولى. ١٩٨٧ . ص ٣٥٢.</w:t>
      </w:r>
    </w:p>
    <w:p>
      <w:pPr>
        <w:numPr>
          <w:ilvl w:val="0"/>
          <w:numId w:val="1002"/>
        </w:numPr>
        <w:pStyle w:val="Compact"/>
        <w:bidi/>
      </w:pPr>
      <w:r>
        <w:rPr>
          <w:rtl/>
        </w:rPr>
        <w:t xml:space="preserve">محمد طه البشير ود.غني حسون طه. الحقوق العينية. الجزء الثاني. الحقوق العينية التبعية. وزارة التعليم العالي. بغداد. ۱۹۸۲، ص ٤٢٩ و ٤٣١.</w:t>
      </w:r>
    </w:p>
    <w:p>
      <w:pPr>
        <w:numPr>
          <w:ilvl w:val="0"/>
          <w:numId w:val="1002"/>
        </w:numPr>
        <w:pStyle w:val="Compact"/>
        <w:bidi/>
      </w:pPr>
      <w:r>
        <w:rPr>
          <w:rtl/>
        </w:rPr>
        <w:t xml:space="preserve">د. وهبة الزحيلي. مصدر سابق. ص ٣٥٣.</w:t>
      </w:r>
    </w:p>
    <w:p>
      <w:pPr>
        <w:numPr>
          <w:ilvl w:val="0"/>
          <w:numId w:val="1002"/>
        </w:numPr>
        <w:pStyle w:val="Compact"/>
        <w:bidi/>
      </w:pPr>
      <w:r>
        <w:rPr>
          <w:rtl/>
        </w:rPr>
        <w:t xml:space="preserve">د. عبد الرزاق أحمد السنهوري. الوسيط في شرح القانون المدني. ج ۱۰ . مصدر سابق. ص ٣٣٢ و ٣٣٤.</w:t>
      </w:r>
    </w:p>
    <w:p>
      <w:pPr>
        <w:numPr>
          <w:ilvl w:val="0"/>
          <w:numId w:val="1002"/>
        </w:numPr>
        <w:pStyle w:val="Compact"/>
        <w:bidi/>
      </w:pPr>
      <w:r>
        <w:rPr>
          <w:rtl/>
        </w:rPr>
        <w:t xml:space="preserve">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r>
        <w:pict>
          <v:rect style="width:0;height:1.5pt" o:hralign="center" o:hrstd="t" o:hr="t"/>
        </w:pict>
      </w:r>
    </w:p>
    <w:p>
      <w:pPr>
        <w:bidi/>
      </w:pPr>
      <w:r>
        <w:rPr>
          <w:rtl/>
        </w:rPr>
        <w:t xml:space="preserve">415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9</w:t>
      </w:r>
    </w:p>
    <w:p>
      <w:r>
        <w:pict>
          <v:rect style="width:0;height:1.5pt" o:hralign="center" o:hrstd="t" o:hr="t"/>
        </w:pict>
      </w:r>
    </w:p>
    <w:p>
      <w:pPr>
        <w:pStyle w:val="FirstParagraph"/>
      </w:pPr>
      <w:r>
        <w:t xml:space="preserve">Journal Sharia and Law, Vol. 2022, No. 91 [2022], Art. 7</w:t>
      </w:r>
    </w:p>
    <w:bookmarkEnd w:id="26"/>
    <w:bookmarkStart w:id="27" w:name="X477e3f383a595b8d9f7419020b831c0f38adc47"/>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bidi/>
      </w:pPr>
      <w:r>
        <w:rPr>
          <w:rtl/>
        </w:rPr>
        <w:t xml:space="preserve">(۱۸) محمد بن علي بن محمد الشوكاني. نيل الأوطار شرح منتقى الأخبار بيت الأفكار الدولية. لبنان. ٢٠٠٤. ص ۱۰۳۷.</w:t>
      </w:r>
    </w:p>
    <w:p>
      <w:pPr>
        <w:bidi/>
      </w:pPr>
      <w:r>
        <w:rPr>
          <w:rtl/>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bidi/>
      </w:pPr>
      <w:r>
        <w:rPr>
          <w:rtl/>
        </w:rPr>
        <w:t xml:space="preserve">(۲۰) د. عصمت عبد المجيد بكر. الوجيز في العقود المدنية المسماة الرهن منشورات زين الحقوقية. بيروت لبنان. ۲۰۱۹. ص۲۲۸.</w:t>
      </w:r>
    </w:p>
    <w:p>
      <w:pPr>
        <w:bidi/>
      </w:pPr>
      <w:r>
        <w:rPr>
          <w:rtl/>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rPr>
        <w:t xml:space="preserve">السنة السادسة والثلاثون - مجلة جامعة الإمارات ]</w:t>
      </w:r>
    </w:p>
    <w:p>
      <w:pPr>
        <w:pStyle w:val="BodyText"/>
      </w:pPr>
      <w:r>
        <w:t xml:space="preserve">416</w:t>
      </w:r>
    </w:p>
    <w:p>
      <w:pPr>
        <w:bidi/>
      </w:pPr>
      <w:r>
        <w:rPr>
          <w:rtl/>
        </w:rPr>
        <w:t xml:space="preserve">https://scholarworks.uaeu.ac.ae/sharia_and_law/vol2022/iss91/7</w:t>
      </w:r>
    </w:p>
    <w:p>
      <w:pPr>
        <w:pStyle w:val="BodyText"/>
      </w:pPr>
      <w:r>
        <w:t xml:space="preserve">10</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27"/>
    <w:bookmarkStart w:id="29" w:name="المطلب-الثاني"/>
    <w:p>
      <w:pPr>
        <w:pStyle w:val="Heading2"/>
        <w:bidi/>
      </w:pPr>
      <w:r>
        <w:rPr>
          <w:rtl/>
        </w:rPr>
        <w:t xml:space="preserve">المطلب الثاني</w:t>
      </w:r>
    </w:p>
    <w:bookmarkStart w:id="28"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bidi/>
      </w:pPr>
      <w:r>
        <w:rPr>
          <w:rtl/>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r>
        <w:pict>
          <v:rect style="width:0;height:1.5pt" o:hralign="center" o:hrstd="t" o:hr="t"/>
        </w:pict>
      </w:r>
    </w:p>
    <w:p>
      <w:pPr>
        <w:numPr>
          <w:ilvl w:val="0"/>
          <w:numId w:val="1003"/>
        </w:numPr>
        <w:pStyle w:val="Compact"/>
        <w:bidi/>
      </w:pPr>
      <w:r>
        <w:rPr>
          <w:rtl/>
        </w:rPr>
        <w:t xml:space="preserve">(22) Daniel F. Hinkel. op. Cit. P.288.</w:t>
      </w:r>
    </w:p>
    <w:p>
      <w:pPr>
        <w:numPr>
          <w:ilvl w:val="0"/>
          <w:numId w:val="1003"/>
        </w:numPr>
        <w:pStyle w:val="Compact"/>
        <w:bidi/>
      </w:pPr>
      <w:r>
        <w:rPr>
          <w:rtl/>
        </w:rPr>
        <w:t xml:space="preserve">(23) Diane Chappelle. Land Law. Eighth Edition. Pearson Education Limited Longman. 2008. P.362.</w:t>
      </w:r>
    </w:p>
    <w:p>
      <w:pPr>
        <w:numPr>
          <w:ilvl w:val="0"/>
          <w:numId w:val="1003"/>
        </w:numPr>
        <w:pStyle w:val="Compact"/>
        <w:bidi/>
      </w:pPr>
      <w:r>
        <w:rPr>
          <w:rtl/>
        </w:rPr>
        <w:t xml:space="preserve">(24) Louise Tee. Land Law. Issues Debates Policy.Routledge Taylor &amp; Francis Group. London. 2014. P.173.</w:t>
      </w:r>
    </w:p>
    <w:p>
      <w:pPr>
        <w:numPr>
          <w:ilvl w:val="0"/>
          <w:numId w:val="1003"/>
        </w:numPr>
        <w:pStyle w:val="Compact"/>
        <w:bidi/>
      </w:pPr>
      <w:r>
        <w:rPr>
          <w:rtl/>
        </w:rPr>
        <w:t xml:space="preserve">(25) Martin Dixon. Modern Land Law. seventh Edition. Routledge Taylor &amp; Francis Group. London and New York. 2010 P.422.</w:t>
      </w:r>
    </w:p>
    <w:p>
      <w:pPr>
        <w:numPr>
          <w:ilvl w:val="0"/>
          <w:numId w:val="1003"/>
        </w:numPr>
        <w:pStyle w:val="Compact"/>
        <w:bidi/>
      </w:pPr>
      <w:r>
        <w:rPr>
          <w:rtl/>
        </w:rPr>
        <w:t xml:space="preserve">(26) Kevin Gray &amp; Susan Francis Gray. op. Cit. P.316.</w:t>
      </w:r>
    </w:p>
    <w:p>
      <w:pPr>
        <w:numPr>
          <w:ilvl w:val="0"/>
          <w:numId w:val="1003"/>
        </w:numPr>
        <w:pStyle w:val="Compact"/>
        <w:bidi/>
      </w:pPr>
      <w:r>
        <w:rPr>
          <w:rtl/>
        </w:rPr>
        <w:t xml:space="preserve">(27) John Duddington. Land Law. Third Edition. Longman “Pearson Education Limited. London. 2011. P.180.</w:t>
      </w:r>
    </w:p>
    <w:p>
      <w:pPr>
        <w:bidi/>
      </w:pPr>
      <w:r>
        <w:rPr>
          <w:rtl/>
        </w:rPr>
        <w:t xml:space="preserve">417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11</w:t>
      </w:r>
    </w:p>
    <w:p>
      <w:r>
        <w:pict>
          <v:rect style="width:0;height:1.5pt" o:hralign="center" o:hrstd="t" o:hr="t"/>
        </w:pict>
      </w:r>
    </w:p>
    <w:p>
      <w:pPr>
        <w:bidi/>
      </w:pPr>
      <w:r>
        <w:rPr>
          <w:rtl/>
        </w:rPr>
        <w:t xml:space="preserve">Journal Sharia and Law, Vol. 2022, No. 91 [2022], Art. 7</w:t>
      </w:r>
    </w:p>
    <w:bookmarkEnd w:id="28"/>
    <w:bookmarkEnd w:id="29"/>
    <w:bookmarkEnd w:id="30"/>
    <w:bookmarkStart w:id="37" w:name="Xf19045de1c45ea7db2cfb801f08638ec952fe5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التقديرية للمحكمة الإنجليزية.</w:t>
      </w:r>
    </w:p>
    <w:bookmarkStart w:id="34" w:name="ثالثا"/>
    <w:p>
      <w:pPr>
        <w:pStyle w:val="Heading2"/>
        <w:bidi/>
      </w:pPr>
      <w:r>
        <w:rPr>
          <w:rtl/>
        </w:rPr>
        <w:t xml:space="preserve">ثالثاً:</w:t>
      </w:r>
    </w:p>
    <w:p>
      <w:pPr>
        <w:bidi/>
      </w:pPr>
      <w:r>
        <w:rPr>
          <w:rtl/>
        </w:rPr>
        <w:t xml:space="preserve">كما يعد نظام غلق الرهن في القانون الإنجليزي نظاماً إنصافياً (</w:t>
      </w:r>
      <w:r>
        <w:t xml:space="preserve">Equitable Order</w:t>
      </w:r>
      <w:r>
        <w:rPr>
          <w:rtl/>
        </w:rPr>
        <w:t xml:space="preserve">) فرضته قواعد العدالة والإنصاف التي تفرض ما يمليه الضمير الحي ومبادىء العدل الطبيعي على النزاعات (٢٨)، والتي يتم اللجوء اليها لسد الثغرات في قانون الأحكام العام (</w:t>
      </w:r>
      <w:r>
        <w:t xml:space="preserve">Common Law</w:t>
      </w:r>
      <w:r>
        <w:rPr>
          <w:rtl/>
        </w:rPr>
        <w:t xml:space="preserve">) العرفي والمبني على السوابق القضائية(٢٩)،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w:t>
      </w:r>
      <w:r>
        <w:t xml:space="preserve">The Equity of Redemption</w:t>
      </w:r>
      <w:r>
        <w:rPr>
          <w:rtl/>
        </w:rPr>
        <w:t xml:space="preserve">) هو من الحقوق الأساسية التي يتمتع بها المدين الراهن (٣١). وجدير بالذكر أن القانون الانجليزي يفرض الرقابة الإنصافية على بنود الرهن (</w:t>
      </w:r>
      <w:r>
        <w:t xml:space="preserve">Equitable Control of Mortgage Terms</w:t>
      </w:r>
      <w:r>
        <w:rPr>
          <w:rtl/>
        </w:rPr>
        <w:t xml:space="preserve">) بطريقتين (٣٢):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w:t>
      </w:r>
      <w:r>
        <w:t xml:space="preserve">Oppressive and Unconscionable Mortgage Terms</w:t>
      </w:r>
      <w:r>
        <w:rPr>
          <w:rtl/>
        </w:rPr>
        <w:t xml:space="preserve">).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r>
        <w:pict>
          <v:rect style="width:0;height:1.5pt" o:hralign="center" o:hrstd="t" o:hr="t"/>
        </w:pict>
      </w:r>
    </w:p>
    <w:p>
      <w:pPr>
        <w:numPr>
          <w:ilvl w:val="0"/>
          <w:numId w:val="1004"/>
        </w:numPr>
        <w:pStyle w:val="Compact"/>
        <w:bidi/>
      </w:pPr>
      <w:r>
        <w:rPr>
          <w:rtl/>
        </w:rPr>
        <w:t xml:space="preserve">د. حسان عبد الغني الخطيب. القانون العام. منشورات زين الحقوقية بيروت، لبنان. ٢٠١٢. ص٢١٦.</w:t>
      </w:r>
    </w:p>
    <w:p>
      <w:pPr>
        <w:numPr>
          <w:ilvl w:val="0"/>
          <w:numId w:val="1004"/>
        </w:numPr>
        <w:pStyle w:val="Compact"/>
        <w:bidi/>
      </w:pPr>
      <w:r>
        <w:rPr>
          <w:rtl/>
        </w:rPr>
        <w:t xml:space="preserve">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4"/>
        </w:numPr>
        <w:pStyle w:val="Compact"/>
        <w:bidi/>
      </w:pPr>
      <w:r>
        <w:rPr>
          <w:rtl/>
        </w:rPr>
        <w:t xml:space="preserve">Kate Green. Land Law. Third Edition. MACMILLAN LAW MASTERS. 1997. P.88.</w:t>
      </w:r>
    </w:p>
    <w:p>
      <w:pPr>
        <w:numPr>
          <w:ilvl w:val="0"/>
          <w:numId w:val="1004"/>
        </w:numPr>
        <w:pStyle w:val="Compact"/>
        <w:bidi/>
      </w:pPr>
      <w:r>
        <w:rPr>
          <w:rtl/>
        </w:rPr>
        <w:t xml:space="preserve">Alison Clarke ،Paul Kohler. Property law commentary and Materials. First Edition. Cambridge University Press. 2005. P.666.</w:t>
      </w:r>
    </w:p>
    <w:p>
      <w:pPr>
        <w:numPr>
          <w:ilvl w:val="0"/>
          <w:numId w:val="1004"/>
        </w:numPr>
        <w:pStyle w:val="Compact"/>
        <w:bidi/>
      </w:pPr>
      <w:r>
        <w:rPr>
          <w:rtl/>
        </w:rPr>
        <w:t xml:space="preserve">Ben McFarlane ،Nicholas Hopkins and Sarah Nield. Land Law Text cases and Materials. Oxford University Press. Second Edition. 2012. P.1108.</w:t>
      </w:r>
    </w:p>
    <w:p>
      <w:pPr>
        <w:bidi/>
      </w:pPr>
      <w:r>
        <w:rPr>
          <w:rtl/>
        </w:rPr>
        <w:t xml:space="preserve">السنة السادسة والثلاثون - مجلة جامعة الإمارات ]</w:t>
      </w:r>
      <w:r>
        <w:rPr>
          <w:rtl/>
        </w:rPr>
        <w:t xml:space="preserve"> </w:t>
      </w:r>
      <w:r>
        <w:t xml:space="preserve">418</w:t>
      </w:r>
    </w:p>
    <w:p>
      <w:pPr>
        <w:bidi/>
      </w:pPr>
      <w:r>
        <w:rPr>
          <w:rtl/>
        </w:rPr>
        <w:t xml:space="preserve">https://scholarworks.uaeu.ac.ae/sharia_and_law/vol2022/iss91/7</w:t>
      </w:r>
    </w:p>
    <w:p>
      <w:pPr>
        <w:bidi/>
      </w:pPr>
      <w:r>
        <w:rPr>
          <w:rtl/>
        </w:rPr>
        <w:t xml:space="preserve">12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استمد فيه القانون الإنجليزي غلق الرهن من قواعد العدالة والإنصاف التي تفرض ما يمليه الضمير الحي.</w:t>
      </w:r>
    </w:p>
    <w:bookmarkStart w:id="31" w:name="رابعا"/>
    <w:p>
      <w:pPr>
        <w:pStyle w:val="Heading3"/>
        <w:bidi/>
      </w:pPr>
      <w:r>
        <w:rPr>
          <w:rtl/>
        </w:rPr>
        <w:t xml:space="preserve">رابعاً:</w:t>
      </w:r>
    </w:p>
    <w:p>
      <w:pPr>
        <w:bidi/>
      </w:pPr>
      <w:r>
        <w:rPr>
          <w:rtl/>
        </w:rPr>
        <w:t xml:space="preserve">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bookmarkEnd w:id="31"/>
    <w:bookmarkStart w:id="32" w:name="خامسا"/>
    <w:p>
      <w:pPr>
        <w:pStyle w:val="Heading3"/>
        <w:bidi/>
      </w:pPr>
      <w:r>
        <w:rPr>
          <w:rtl/>
        </w:rPr>
        <w:t xml:space="preserve">خامساً:</w:t>
      </w:r>
    </w:p>
    <w:p>
      <w:pPr>
        <w:bidi/>
      </w:pPr>
      <w:r>
        <w:rPr>
          <w:rtl/>
        </w:rPr>
        <w:t xml:space="preserve">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bookmarkEnd w:id="32"/>
    <w:bookmarkStart w:id="33" w:name="سادسا"/>
    <w:p>
      <w:pPr>
        <w:pStyle w:val="Heading3"/>
        <w:bidi/>
      </w:pPr>
      <w:r>
        <w:rPr>
          <w:rtl/>
        </w:rPr>
        <w:t xml:space="preserve">سادساً:</w:t>
      </w:r>
    </w:p>
    <w:p>
      <w:pPr>
        <w:bidi/>
      </w:pPr>
      <w:r>
        <w:rPr>
          <w:rtl/>
        </w:rPr>
        <w:t xml:space="preserve">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bidi/>
      </w:pPr>
      <w:r>
        <w:rPr>
          <w:rtl/>
        </w:rPr>
        <w:t xml:space="preserve">(33) Peter Sparkes. A New Land Law. Second Edition. Hart Publishing. Portland ،Oregon. 2003. P.646.</w:t>
      </w:r>
    </w:p>
    <w:p>
      <w:pPr>
        <w:bidi/>
      </w:pPr>
      <w:r>
        <w:rPr>
          <w:rtl/>
        </w:rPr>
        <w:t xml:space="preserve">(34) E. H Burn and J. Cartwright. Cheshire and Burn's Modern law of Real Property. Eighteenth Edition. Oxford University Press. 2011.P.864.</w:t>
      </w:r>
    </w:p>
    <w:p>
      <w:pPr>
        <w:bidi/>
      </w:pPr>
      <w:r>
        <w:rPr>
          <w:rtl/>
        </w:rPr>
        <w:t xml:space="preserve">(35) Elizabeth Cooke. The New Law of Land Registration. Hart Publishing. 2003. P.34.</w:t>
      </w:r>
    </w:p>
    <w:p>
      <w:pPr>
        <w:bidi/>
      </w:pPr>
      <w:r>
        <w:rPr>
          <w:rtl/>
        </w:rPr>
        <w:t xml:space="preserve">(36) Kevin Gray &amp; Susan Francis Gray. op. Cit. P.316.</w:t>
      </w:r>
    </w:p>
    <w:p>
      <w:pPr>
        <w:bidi/>
      </w:pPr>
      <w:r>
        <w:rPr>
          <w:rtl/>
        </w:rPr>
        <w:t xml:space="preserve">419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13</w:t>
      </w:r>
    </w:p>
    <w:p>
      <w:r>
        <w:pict>
          <v:rect style="width:0;height:1.5pt" o:hralign="center" o:hrstd="t" o:hr="t"/>
        </w:pict>
      </w:r>
    </w:p>
    <w:p>
      <w:pPr>
        <w:bidi/>
      </w:pPr>
      <w:r>
        <w:rPr>
          <w:rtl/>
        </w:rPr>
        <w:t xml:space="preserve">Journal Sharia and Law, Vol. 2022, No. 91 [2022], Art. 7</w:t>
      </w:r>
    </w:p>
    <w:bookmarkEnd w:id="33"/>
    <w:bookmarkEnd w:id="34"/>
    <w:bookmarkStart w:id="36" w:name="X937002687b19b160b4b3ce6425621ccef1884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 (Courts of Equity)(۳۷). فالأصل العام هو عدم إمكانية</w:t>
      </w:r>
      <w:r>
        <w:rPr>
          <w:rtl/>
        </w:rPr>
        <w:t xml:space="preserve"> </w:t>
      </w:r>
      <w:r>
        <w:rPr>
          <w:rtl/>
        </w:rPr>
        <w:t xml:space="preserve">انتهاك هذا الحق. وعلى الرغم من انقضاء الحق التعاقدي في فك الرهن (Lapse of the</w:t>
      </w:r>
      <w:r>
        <w:rPr>
          <w:rtl/>
        </w:rPr>
        <w:t xml:space="preserve"> </w:t>
      </w:r>
      <w:r>
        <w:rPr>
          <w:rtl/>
        </w:rPr>
        <w:t xml:space="preserve">Contractual Right to Redeem)، فإنه يحظر على الدائن المرتهن اكتساب الملكية القانونية</w:t>
      </w:r>
      <w:r>
        <w:rPr>
          <w:rtl/>
        </w:rPr>
        <w:t xml:space="preserve"> </w:t>
      </w:r>
      <w:r>
        <w:rPr>
          <w:rtl/>
        </w:rPr>
        <w:t xml:space="preserve">(Legal Fee Simple) للعقار المرهون، من دون التقدم بطلب إلى المحكمة. فإذا أصدرت</w:t>
      </w:r>
      <w:r>
        <w:rPr>
          <w:rtl/>
        </w:rPr>
        <w:t xml:space="preserve"> </w:t>
      </w:r>
      <w:r>
        <w:rPr>
          <w:rtl/>
        </w:rPr>
        <w:t xml:space="preserve">المحكمة حكمها بإغلاق الرهن إنقضى حق المدين الراهن في فك الرهن (۳۸). كما لا يمكن</w:t>
      </w:r>
      <w:r>
        <w:rPr>
          <w:rtl/>
        </w:rPr>
        <w:t xml:space="preserve"> </w:t>
      </w:r>
      <w:r>
        <w:rPr>
          <w:rtl/>
        </w:rPr>
        <w:t xml:space="preserve">للدائن المرتهن إثارة إية مسألة تتعلق بغلق الرهن، قبل أن يحين موعد استحقاق الوفاء بدين</w:t>
      </w:r>
      <w:r>
        <w:rPr>
          <w:rtl/>
        </w:rPr>
        <w:t xml:space="preserve"> </w:t>
      </w:r>
      <w:r>
        <w:rPr>
          <w:rtl/>
        </w:rPr>
        <w:t xml:space="preserve">القرض الموثق بالرهن، والمنصوص عليه في عقد الرهن. ولكن بمجرد حلول هذا الميعاد، وتمتع</w:t>
      </w:r>
      <w:r>
        <w:rPr>
          <w:rtl/>
        </w:rPr>
        <w:t xml:space="preserve"> </w:t>
      </w:r>
      <w:r>
        <w:rPr>
          <w:rtl/>
        </w:rPr>
        <w:t xml:space="preserve">المدين الراهن بحق فك الرهن. فإنه يمكن للدائن المرتهن أن يرفع الدعوى إلى محكمة العدالة</w:t>
      </w:r>
      <w:r>
        <w:rPr>
          <w:rtl/>
        </w:rPr>
        <w:t xml:space="preserve"> </w:t>
      </w:r>
      <w:r>
        <w:rPr>
          <w:rtl/>
        </w:rPr>
        <w:t xml:space="preserve">المطلقة (Chancery Division)، لتخيير المدين الراهن بين دفع دين القرض المضمون بالرهن،</w:t>
      </w:r>
      <w:r>
        <w:rPr>
          <w:rtl/>
        </w:rPr>
        <w:t xml:space="preserve"> </w:t>
      </w:r>
      <w:r>
        <w:rPr>
          <w:rtl/>
        </w:rPr>
        <w:t xml:space="preserve">وبين القبول بغلق الرهن (۳۹). ويختلف موقف القانون الإنجليزي من هذه الناحية عن موقف</w:t>
      </w:r>
      <w:r>
        <w:rPr>
          <w:rtl/>
        </w:rPr>
        <w:t xml:space="preserve"> </w:t>
      </w:r>
      <w:r>
        <w:rPr>
          <w:rtl/>
        </w:rPr>
        <w:t xml:space="preserve">المادتين (۲۷) و (۲۸) من قانون رهن الأموال المنقولة الاتحادي الإماراتي رقم (٢٠) لسنة</w:t>
      </w:r>
      <w:r>
        <w:rPr>
          <w:rtl/>
        </w:rPr>
        <w:t xml:space="preserve"> </w:t>
      </w:r>
      <w:r>
        <w:rPr>
          <w:rtl/>
        </w:rPr>
        <w:t xml:space="preserve">٢٠١٦ ، اللتين أجازتا غلق الرهن، ولكن من دون اللجوء إلى المحكمة أو من اللجوء لأية</w:t>
      </w:r>
      <w:r>
        <w:rPr>
          <w:rtl/>
        </w:rPr>
        <w:t xml:space="preserve"> </w:t>
      </w:r>
      <w:r>
        <w:rPr>
          <w:rtl/>
        </w:rPr>
        <w:t xml:space="preserve">إجراءات قضائية.</w:t>
      </w:r>
    </w:p>
    <w:bookmarkStart w:id="35" w:name="Xe4f6d9cf0d1a70b5466045b5192c00228f5e8e9"/>
    <w:p>
      <w:pPr>
        <w:pStyle w:val="Heading3"/>
        <w:bidi/>
      </w:pPr>
      <w:r>
        <w:rPr>
          <w:rtl/>
        </w:rPr>
        <w:t xml:space="preserve">سابعاً : يصنف غلق الرهن في القانون الانجليزي إلى نوعين: الأول غلق الرهن القضائي</w:t>
      </w:r>
    </w:p>
    <w:p>
      <w:pPr>
        <w:bidi/>
      </w:pPr>
      <w:r>
        <w:rPr>
          <w:rtl/>
        </w:rPr>
        <w:t xml:space="preserve">(Judicial Foreclosure) وهو الأكثر شيوعاً في ظل هذا القانون، ويتطلب سريانه قيام الدائن</w:t>
      </w:r>
      <w:r>
        <w:rPr>
          <w:rtl/>
        </w:rPr>
        <w:t xml:space="preserve"> </w:t>
      </w:r>
      <w:r>
        <w:rPr>
          <w:rtl/>
        </w:rPr>
        <w:t xml:space="preserve">المرتهن بإقامة دعوى ضد المدين الراهن يدعي فيها تخلف الأخير عن الوفاء بالدين المضمون</w:t>
      </w:r>
      <w:r>
        <w:rPr>
          <w:rtl/>
        </w:rPr>
        <w:t xml:space="preserve"> </w:t>
      </w:r>
      <w:r>
        <w:rPr>
          <w:rtl/>
        </w:rPr>
        <w:t xml:space="preserve">بالعقار المرهون (Debt Secured by Real Property). ويطلب تمليكه ذلك العقار (٤٠). والثاني</w:t>
      </w:r>
    </w:p>
    <w:p>
      <w:r>
        <w:pict>
          <v:rect style="width:0;height:1.5pt" o:hralign="center" o:hrstd="t" o:hr="t"/>
        </w:pict>
      </w:r>
    </w:p>
    <w:p>
      <w:pPr>
        <w:bidi/>
      </w:pPr>
      <w:r>
        <w:rPr>
          <w:rtl/>
        </w:rPr>
        <w:t xml:space="preserve">(37) Samantha Hepburn. Principles of Property Law. Second Edition. Cavendish Publishing.</w:t>
      </w:r>
      <w:r>
        <w:rPr>
          <w:rtl/>
        </w:rPr>
        <w:t xml:space="preserve"> </w:t>
      </w:r>
      <w:r>
        <w:rPr>
          <w:rtl/>
        </w:rPr>
        <w:t xml:space="preserve">London. 2001. P.361.</w:t>
      </w:r>
    </w:p>
    <w:p>
      <w:pPr>
        <w:bidi/>
      </w:pPr>
      <w:r>
        <w:rPr>
          <w:rtl/>
        </w:rPr>
        <w:t xml:space="preserve">(۳۸) أدموند س ملكا. شرح القانون الإنجليزي في ثمانية أجزاء. الطبعة الأولى. مطبعة مصر شركة مساهمة مصرية.</w:t>
      </w:r>
      <w:r>
        <w:rPr>
          <w:rtl/>
        </w:rPr>
        <w:t xml:space="preserve"> </w:t>
      </w:r>
      <w:r>
        <w:rPr>
          <w:rtl/>
        </w:rPr>
        <w:t xml:space="preserve">١٩٥٤. ص ٥١٠.</w:t>
      </w:r>
    </w:p>
    <w:p>
      <w:pPr>
        <w:bidi/>
      </w:pPr>
      <w:r>
        <w:rPr>
          <w:rtl/>
        </w:rPr>
        <w:t xml:space="preserve">(39) E. H Burn and J. Cartwright. ibid.P.862.</w:t>
      </w:r>
    </w:p>
    <w:p>
      <w:pPr>
        <w:bidi/>
      </w:pPr>
      <w:r>
        <w:rPr>
          <w:rtl/>
        </w:rPr>
        <w:t xml:space="preserve">(40) Daniel F. Hinkel. Practical Real Estate Law. Fifth Edition. West Legal Studies. New</w:t>
      </w:r>
      <w:r>
        <w:rPr>
          <w:rtl/>
        </w:rPr>
        <w:t xml:space="preserve"> </w:t>
      </w:r>
      <w:r>
        <w:rPr>
          <w:rtl/>
        </w:rPr>
        <w:t xml:space="preserve">York. 2008. P.289.</w:t>
      </w:r>
    </w:p>
    <w:p>
      <w:pPr>
        <w:bidi/>
      </w:pPr>
      <w:r>
        <w:rPr>
          <w:rtl/>
        </w:rPr>
        <w:t xml:space="preserve">420 السنة السادسة والثلاثون - مجلة جامعة الإمارات ]</w:t>
      </w:r>
    </w:p>
    <w:p>
      <w:pPr>
        <w:bidi/>
      </w:pPr>
      <w:r>
        <w:rPr>
          <w:rtl/>
        </w:rPr>
        <w:t xml:space="preserve">https://scholarworks.uaeu.ac.ae/sharia_and_law/vol2022/iss91/7</w:t>
      </w:r>
    </w:p>
    <w:p>
      <w:pPr>
        <w:bidi/>
      </w:pPr>
      <w:r>
        <w:rPr>
          <w:rtl/>
        </w:rPr>
        <w:t xml:space="preserve">14</w:t>
      </w:r>
    </w:p>
    <w:p>
      <w:r>
        <w:pict>
          <v:rect style="width:0;height:1.5pt" o:hralign="center" o:hrstd="t" o:hr="t"/>
        </w:pict>
      </w:r>
    </w:p>
    <w:p>
      <w:pPr>
        <w:bidi/>
      </w:pPr>
      <w:r>
        <w:t xml:space="preserve">Ali: ??? ????? ?? ??????? ????????? ????? ??????? ?????? ?????? ???????? ???????? ???????</w:t>
      </w:r>
    </w:p>
    <w:p>
      <w:pPr>
        <w:bidi/>
      </w:pPr>
      <w:r>
        <w:rPr>
          <w:rtl/>
        </w:rPr>
        <w:t xml:space="preserve">د.يونس صلاح الدين علي]</w:t>
      </w:r>
    </w:p>
    <w:p>
      <w:pPr>
        <w:bidi/>
      </w:pPr>
      <w:r>
        <w:rPr>
          <w:rtl/>
        </w:rPr>
        <w:t xml:space="preserve">هو غلق الرهن غير القضائي (</w:t>
      </w:r>
      <w:r>
        <w:t xml:space="preserve">Non-Judicial Foreclosure</w:t>
      </w:r>
      <w:r>
        <w:rPr>
          <w:rtl/>
        </w:rPr>
        <w:t xml:space="preserve">) أو ما يعرف بغلق الرهن مع سلطة البيع (</w:t>
      </w:r>
      <w:r>
        <w:t xml:space="preserve">Power of Sale Foreclosure</w:t>
      </w:r>
      <w:r>
        <w:rPr>
          <w:rtl/>
        </w:rPr>
        <w:t xml:space="preserv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w:t>
      </w:r>
      <w:r>
        <w:t xml:space="preserve">Non</w:t>
      </w:r>
      <w:r>
        <w:rPr>
          <w:rtl/>
        </w:rPr>
        <w:t xml:space="preserve">) (</w:t>
      </w:r>
      <w:r>
        <w:t xml:space="preserve">Judicial Sale</w:t>
      </w:r>
      <w:r>
        <w:rPr>
          <w:rtl/>
        </w:rPr>
        <w:t xml:space="preserve">، حتى وإن كان بيعاً علنياً (</w:t>
      </w:r>
      <w:r>
        <w:t xml:space="preserve">Public Sale</w:t>
      </w:r>
      <w:r>
        <w:rPr>
          <w:rtl/>
        </w:rPr>
        <w:t xml:space="preserv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w:t>
      </w:r>
      <w:r>
        <w:t xml:space="preserve">Power of Sale</w:t>
      </w:r>
      <w:r>
        <w:rPr>
          <w:rtl/>
        </w:rPr>
        <w:t xml:space="preserve">) هو بأنه لا يكون مديناً بأي التزام مبني على الثقة (</w:t>
      </w:r>
      <w:r>
        <w:t xml:space="preserve">Fiduciary Obligation</w:t>
      </w:r>
      <w:r>
        <w:rPr>
          <w:rtl/>
        </w:rPr>
        <w:t xml:space="preserve">)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w:t>
      </w:r>
      <w:r>
        <w:t xml:space="preserve">Sale Proceeds</w:t>
      </w:r>
      <w:r>
        <w:rPr>
          <w:rtl/>
        </w:rPr>
        <w:t xml:space="preserve">)، ويعد في نظر القانون أميناً (</w:t>
      </w:r>
      <w:r>
        <w:t xml:space="preserve">Trustee</w:t>
      </w:r>
      <w:r>
        <w:rPr>
          <w:rtl/>
        </w:rPr>
        <w:t xml:space="preserve">) في إعادة المبلغ الزائد إلى المدين الراهن، بعد الحصول على دين الرهن (</w:t>
      </w:r>
      <w:r>
        <w:t xml:space="preserve">Mortgage Debt</w:t>
      </w:r>
      <w:r>
        <w:rPr>
          <w:rtl/>
        </w:rPr>
        <w:t xml:space="preserve">).</w:t>
      </w:r>
    </w:p>
    <w:p>
      <w:pPr>
        <w:bidi/>
      </w:pPr>
      <w:r>
        <w:rPr>
          <w:rtl/>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bidi/>
      </w:pPr>
      <w:r>
        <w:rPr>
          <w:rtl/>
        </w:rPr>
        <w:t xml:space="preserve">(41) Daniel F. Hinkel. ibid. P.289.</w:t>
      </w:r>
    </w:p>
    <w:p>
      <w:pPr>
        <w:bidi/>
      </w:pPr>
      <w:r>
        <w:rPr>
          <w:rtl/>
        </w:rP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r>
        <w:pict>
          <v:rect style="width:0;height:1.5pt" o:hralign="center" o:hrstd="t" o:hr="t"/>
        </w:pict>
      </w:r>
    </w:p>
    <w:p>
      <w:pPr>
        <w:bidi/>
      </w:pPr>
      <w:r>
        <w:rPr>
          <w:rtl/>
        </w:rPr>
        <w:t xml:space="preserve">421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15</w:t>
      </w:r>
    </w:p>
    <w:p>
      <w:r>
        <w:pict>
          <v:rect style="width:0;height:1.5pt" o:hralign="center" o:hrstd="t" o:hr="t"/>
        </w:pict>
      </w:r>
    </w:p>
    <w:p>
      <w:pPr>
        <w:bidi/>
      </w:pPr>
      <w:r>
        <w:rPr>
          <w:rtl/>
        </w:rPr>
        <w:t xml:space="preserve">Journal Sharia and Law, Vol. 2022, No. 91 [2022], Art. 7</w:t>
      </w:r>
    </w:p>
    <w:bookmarkEnd w:id="35"/>
    <w:bookmarkEnd w:id="36"/>
    <w:bookmarkEnd w:id="37"/>
    <w:bookmarkStart w:id="40" w:name="X45c2fdb3c83090542c6d7d126d6e614aa457b0e"/>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bidi/>
      </w:pPr>
      <w:r>
        <w:rPr>
          <w:rtl/>
        </w:rPr>
        <w:t xml:space="preserve">تاسعاً: 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bidi/>
      </w:pPr>
      <w:r>
        <w:rPr>
          <w:rtl/>
        </w:rPr>
        <w:t xml:space="preserve">عاشراً: 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bidi/>
      </w:pPr>
      <w:r>
        <w:rPr>
          <w:rtl/>
        </w:rPr>
        <w:t xml:space="preserve">أحد عشر : ويتسم غلق الرهن في القوانين العراقي والإماراتي والمصري من حيث وقت الاتفاق عليه، بأنه يتخذ ثلاث صور ) (٤٨) هي : الأولى شرط تملك المال المرهون عند عدم الوفاء،</w:t>
      </w:r>
    </w:p>
    <w:p>
      <w:r>
        <w:pict>
          <v:rect style="width:0;height:1.5pt" o:hralign="center" o:hrstd="t" o:hr="t"/>
        </w:pict>
      </w:r>
    </w:p>
    <w:p>
      <w:pPr>
        <w:bidi/>
      </w:pPr>
      <w:r>
        <w:rPr>
          <w:rtl/>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ص١٧.</w:t>
      </w:r>
    </w:p>
    <w:p>
      <w:pPr>
        <w:bidi/>
      </w:pPr>
      <w:r>
        <w:rPr>
          <w:rtl/>
        </w:rPr>
        <w:t xml:space="preserve">(٤٥) د.جورج شدراوي. حق الملكية العقارية مع ملحق عن حق التصرف حق الانتفاع. الطبعة الثانية. شركة المؤسسة الحديثة للكتاب لبنان. ٢٠١٧. ص۸.</w:t>
      </w:r>
    </w:p>
    <w:p>
      <w:pPr>
        <w:bidi/>
      </w:pPr>
      <w:r>
        <w:rPr>
          <w:rtl/>
        </w:rPr>
        <w:t xml:space="preserve">(٤٦) د. الشافعي عبد الرحمن السيد عوض. عقد الرهن في الشريعة الإسلامية دراسة مقارنة. مكتبة الوفاء الإسكندرية. ٢٠١١. ص ١٤٧.</w:t>
      </w:r>
    </w:p>
    <w:p>
      <w:pPr>
        <w:bidi/>
      </w:pPr>
      <w:r>
        <w:rPr>
          <w:rtl/>
        </w:rPr>
        <w:t xml:space="preserve">(٤٧) محمد طه البشير ود. غني حسون طه. الحقوق العينية . ج ۲ . مصدر سابق. ص ٤٣٠ .</w:t>
      </w:r>
    </w:p>
    <w:p>
      <w:pPr>
        <w:bidi/>
      </w:pPr>
      <w:r>
        <w:rPr>
          <w:rtl/>
        </w:rPr>
        <w:t xml:space="preserve">(٤٨) د. منصور حاتم محسن وزينب حسين يوسف. النظام القانوني للاتفاق على تملك المرتهن المرهون عند عدم الوفاء =</w:t>
      </w:r>
    </w:p>
    <w:p>
      <w:pPr>
        <w:bidi/>
      </w:pPr>
      <w:r>
        <w:rPr>
          <w:rtl/>
        </w:rPr>
        <w:t xml:space="preserve">422</w:t>
      </w:r>
    </w:p>
    <w:p>
      <w:pPr>
        <w:bidi/>
      </w:pPr>
      <w:r>
        <w:rPr>
          <w:rtl/>
        </w:rPr>
        <w:t xml:space="preserve">السنة السادسة والثلاثون - مجلة جامعة الإمارات ]</w:t>
      </w:r>
    </w:p>
    <w:p>
      <w:pPr>
        <w:bidi/>
      </w:pPr>
      <w:hyperlink r:id="rId21">
        <w:r>
          <w:rPr>
            <w:rStyle w:val="Hyperlink"/>
            <w:rtl/>
          </w:rPr>
          <w:t xml:space="preserve">https://scholarworks.uaeu.ac.ae/sharia_and_law/vol2022/iss91/7</w:t>
        </w:r>
      </w:hyperlink>
    </w:p>
    <w:p>
      <w:pPr>
        <w:bidi/>
      </w:pPr>
      <w:r>
        <w:rPr>
          <w:rtl/>
        </w:rPr>
        <w:t xml:space="preserve">16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 عند عدم الوفاء، أو شرط الطريق الممهد المدرج في اتفاق لاحق بعد انعقاد عقد الرهن وقبل حلول أجل الدين المضمون بالرهن. والثالثة شرط تملك المال المرهون عند عدم الوفاء، أو شرط الطريق الممهد المدرج في اتفاق لاحق على انعقاد عقد الرهن، وبعد حلول أجل الدين الموثق بالرهن(٤٩). وقد نص القانون المدني المصري على هذه الصورة الأخيرة أيضاً في الفقرة الأولى من المادة (١٠٥٢) منه. وعلى الرغم من أن المادة (۱۳۰۱) من القانون المدني العراقي لم تنص على الحالة الثالثة صراحة، إلا أنه يمكن استنتاجها من الشرط الأخير من هذه المادة الذي جاء مطلقاً، وذكر عبارة (حتى لو كان هذا الاتفاق قد أُبرم بعد الرهن). ولم يميز بين الاتفاق اللاحق بعد انعقاد عقد الرهن وقبل حلول أجل الدين، وبين الاتفاق اللاحق على انعقاد عقد الرهن، وبعد حلول أجل الدين الموثق بالرهن. ويمكننا القول بأن الشيء نفسه ينطبق على قانون المعاملات المدنية الاتحادي الإماراتي رقم (٥) لسنة ١٩٨٥، فقد نصت الفقرة الثانية من المادة (١٤٢٠) منه على أنه ( ويبطل الشرط كذلك ولو تم باتفاق لاحق). فيبطل شرط تملك المال المرهون عند عدم الوفاء بالدين المضمون بالرهن، ولو أدرج باتفاق لاحق على عقد الرهن نفسه(٥٠) . وعلى هذا الأساس فإنه يمكن لهذا الشرط أن يتخذ في القانون الإماراتي أيضاً نفس الصور الثلاث السالفة الذكر.</w:t>
      </w:r>
    </w:p>
    <w:bookmarkStart w:id="39" w:name="المطلب-الثالث"/>
    <w:p>
      <w:pPr>
        <w:pStyle w:val="Heading2"/>
        <w:bidi/>
      </w:pPr>
      <w:r>
        <w:rPr>
          <w:rtl/>
        </w:rPr>
        <w:t xml:space="preserve">المطلب الثالث</w:t>
      </w:r>
    </w:p>
    <w:bookmarkStart w:id="38"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(۱۳۰۱) من القانون المدني العراقي، و(١٤٢٠) من قانون</w:t>
      </w:r>
    </w:p>
    <w:p>
      <w:pPr>
        <w:bidi/>
      </w:pPr>
      <w:r>
        <w:rPr>
          <w:rtl/>
        </w:rPr>
        <w:t xml:space="preserve">=دراسة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bidi/>
      </w:pPr>
      <w:r>
        <w:rPr>
          <w:rtl/>
        </w:rPr>
        <w:t xml:space="preserve">423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17</w:t>
      </w:r>
    </w:p>
    <w:p>
      <w:r>
        <w:pict>
          <v:rect style="width:0;height:1.5pt" o:hralign="center" o:hrstd="t" o:hr="t"/>
        </w:pict>
      </w:r>
    </w:p>
    <w:bookmarkEnd w:id="38"/>
    <w:bookmarkEnd w:id="39"/>
    <w:bookmarkEnd w:id="40"/>
    <w:bookmarkStart w:id="41" w:name="X807cfd917b84fabda0222983066c45525ef4f74"/>
    <w:p>
      <w:pPr>
        <w:pStyle w:val="Heading1"/>
      </w:pPr>
      <w:r>
        <w:t xml:space="preserve">Foreclosure in English law: A Comparative Analytical Study of Islamic Jurisprudence and Comparative Law</w:t>
      </w:r>
    </w:p>
    <w:p>
      <w:pPr>
        <w:pStyle w:val="FirstParagraph"/>
      </w:pPr>
      <w:r>
        <w:t xml:space="preserve">Cover Page Footnote</w:t>
      </w:r>
    </w:p>
    <w:p>
      <w:pPr>
        <w:pStyle w:val="BodyText"/>
      </w:pPr>
      <w:r>
        <w:t xml:space="preserve">د.یونس صلاح الدين علي أستاذ القانون الخاص المساعد - كلية القانون والعلاقات الدولية والدبلوماسية جامعة جيهان الخاصة - أربيل - العراق</w:t>
      </w:r>
    </w:p>
    <w:p>
      <w:pPr>
        <w:pStyle w:val="BodyText"/>
      </w:pPr>
      <w:r>
        <w:t xml:space="preserve">younis888_sss@yahoo.com</w:t>
      </w:r>
    </w:p>
    <w:p>
      <w:r>
        <w:pict>
          <v:rect style="width:0;height:1.5pt" o:hralign="center" o:hrstd="t" o:hr="t"/>
        </w:pict>
      </w:r>
    </w:p>
    <w:p>
      <w:pPr>
        <w:pStyle w:val="FirstParagraph"/>
      </w:pPr>
      <w:r>
        <w:t xml:space="preserve">This article is available in Journal Sharia and Law:</w:t>
      </w:r>
      <w:r>
        <w:t xml:space="preserve"> </w:t>
      </w:r>
      <w:hyperlink r:id="rId21">
        <w:r>
          <w:rPr>
            <w:rStyle w:val="Hyperlink"/>
          </w:rPr>
          <w:t xml:space="preserve">https://scholarworks.uaeu.ac.ae/sharia_and_law/vol2022/iss91/7</w:t>
        </w:r>
      </w:hyperlink>
    </w:p>
    <w:p>
      <w:r>
        <w:pict>
          <v:rect style="width:0;height:1.5pt" o:hralign="center" o:hrstd="t" o:hr="t"/>
        </w:pict>
      </w:r>
    </w:p>
    <w:p>
      <w:pPr>
        <w:pStyle w:val="FirstParagraph"/>
      </w:pPr>
      <w:r>
        <w:t xml:space="preserve">Journal Sharia and Law, Vol. 2022, No. 91 [2022], Art. 7</w:t>
      </w:r>
    </w:p>
    <w:bookmarkEnd w:id="41"/>
    <w:bookmarkStart w:id="46" w:name="X0ce96358fbe4018a4e88d7357003e42c16ddeb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43" w:name="الفرع-الأول"/>
    <w:p>
      <w:pPr>
        <w:pStyle w:val="Heading2"/>
        <w:bidi/>
      </w:pPr>
      <w:r>
        <w:rPr>
          <w:rtl/>
        </w:rPr>
        <w:t xml:space="preserve">الفرع الأول</w:t>
      </w:r>
    </w:p>
    <w:bookmarkStart w:id="42"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bidi/>
      </w:pPr>
      <w:r>
        <w:rPr>
          <w:rtl/>
        </w:rPr>
        <w:t xml:space="preserve">أولاً: من حيث الآثار: فكلاهما مصيره البطلان ويصح عقد الرهن، مالم يكن الشرط هو الباعث الدافع على التعاقد.</w:t>
      </w:r>
    </w:p>
    <w:p>
      <w:pPr>
        <w:bidi/>
      </w:pPr>
      <w:r>
        <w:rPr>
          <w:rtl/>
        </w:rPr>
        <w:t xml:space="preserve">ثانياً: من حيث أساس البطلان : يعد كلا الشرطين باطلاً لمخالفته النظام العام، لأنه ينطوي على استغلال الدائن المرتهن للمدين الراهن.</w:t>
      </w:r>
    </w:p>
    <w:p>
      <w:pPr>
        <w:bidi/>
      </w:pPr>
      <w:r>
        <w:rPr>
          <w:rtl/>
        </w:rP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bidi/>
      </w:pPr>
      <w:r>
        <w:rPr>
          <w:rtl/>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bidi/>
      </w:pPr>
      <w:r>
        <w:rPr>
          <w:rtl/>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t xml:space="preserve">424</w:t>
      </w:r>
      <w:r>
        <w:rPr>
          <w:rtl/>
        </w:rPr>
        <w:t xml:space="preserve"> </w:t>
      </w:r>
      <w:r>
        <w:rPr>
          <w:rtl/>
        </w:rPr>
        <w:t xml:space="preserve"> </w:t>
      </w:r>
      <w:r>
        <w:rPr>
          <w:rtl/>
        </w:rPr>
        <w:t xml:space="preserve">السنة السادسة والثلاثون - مجلة جامعة الإمارات ]</w:t>
      </w:r>
    </w:p>
    <w:p>
      <w:pPr>
        <w:bidi/>
      </w:pPr>
      <w:hyperlink r:id="rId21">
        <w:r>
          <w:rPr>
            <w:rStyle w:val="Hyperlink"/>
            <w:rtl/>
          </w:rPr>
          <w:t xml:space="preserve">https://scholarworks.uaeu.ac.ae/sharia_and_law/vol2022/iss91/7</w:t>
        </w:r>
      </w:hyperlink>
      <w:r>
        <w:rPr>
          <w:rtl/>
        </w:rPr>
        <w:t xml:space="preserve"> </w:t>
      </w:r>
      <w:r>
        <w:t xml:space="preserve">18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42"/>
    <w:bookmarkEnd w:id="43"/>
    <w:bookmarkStart w:id="45" w:name="الفرع-الثاني"/>
    <w:p>
      <w:pPr>
        <w:pStyle w:val="Heading2"/>
        <w:bidi/>
      </w:pPr>
      <w:r>
        <w:rPr>
          <w:rtl/>
        </w:rPr>
        <w:t xml:space="preserve">الفرع الثاني</w:t>
      </w:r>
    </w:p>
    <w:bookmarkStart w:id="44" w:name="Xab8abb25f979235ccfc3750470da0b68c59640e"/>
    <w:p>
      <w:pPr>
        <w:pStyle w:val="Heading3"/>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w:t>
      </w:r>
      <w:r>
        <w:rPr>
          <w:rtl/>
        </w:rPr>
        <w:t xml:space="preserve"> </w:t>
      </w:r>
      <w:r>
        <w:rPr>
          <w:rtl/>
          <w:vertAlign w:val="superscript"/>
        </w:rPr>
        <w:t xml:space="preserve">(٥١)</w:t>
      </w:r>
      <w:r>
        <w:rPr>
          <w:rtl/>
        </w:rPr>
        <w:t xml:space="preserve"> </w:t>
      </w:r>
      <w:r>
        <w:rPr>
          <w:rtl/>
        </w:rPr>
        <w:t xml:space="preserve">.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w:t>
      </w:r>
      <w:r>
        <w:rPr>
          <w:rtl/>
        </w:rPr>
        <w:t xml:space="preserve"> </w:t>
      </w:r>
      <w:r>
        <w:rPr>
          <w:rtl/>
          <w:vertAlign w:val="superscript"/>
        </w:rPr>
        <w:t xml:space="preserve">(٥٢)</w:t>
      </w:r>
      <w:r>
        <w:rPr>
          <w:rtl/>
        </w:rPr>
        <w:t xml:space="preserve"> </w:t>
      </w:r>
      <w:r>
        <w:rPr>
          <w:rtl/>
        </w:rPr>
        <w:t xml:space="preserve">.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r>
        <w:pict>
          <v:rect style="width:0;height:1.5pt" o:hralign="center" o:hrstd="t" o:hr="t"/>
        </w:pict>
      </w:r>
    </w:p>
    <w:p>
      <w:pPr>
        <w:bidi/>
      </w:pPr>
      <w:r>
        <w:rPr>
          <w:rtl/>
          <w:vertAlign w:val="superscript"/>
        </w:rPr>
        <w:t xml:space="preserve">(٥١)</w:t>
      </w:r>
      <w:r>
        <w:rPr>
          <w:rtl/>
        </w:rPr>
        <w:t xml:space="preserve"> </w:t>
      </w:r>
      <w:r>
        <w:rPr>
          <w:rtl/>
        </w:rPr>
        <w:t xml:space="preserve">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vertAlign w:val="superscript"/>
        </w:rPr>
        <w:t xml:space="preserve">(٥٢)</w:t>
      </w:r>
      <w:r>
        <w:rPr>
          <w:rtl/>
        </w:rPr>
        <w:t xml:space="preserve"> </w:t>
      </w:r>
      <w:r>
        <w:rPr>
          <w:rtl/>
        </w:rPr>
        <w:t xml:space="preserve">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44"/>
    <w:bookmarkEnd w:id="45"/>
    <w:bookmarkEnd w:id="46"/>
    <w:bookmarkStart w:id="48" w:name="Xe98177c5ffcba0dde575cb7e4bfe0fd5e3e5269"/>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أن يستوفي حقه في العقار المرهون رهناً تأمينياً وفقاً للإجراءات المقررة لذلك، وإذا لم يف العقار بحقه، فله أن يستوفي ما بقي له كدائن عادي من سائر أموال المدين). وكل اتفاق على عدم مراعاة تلك الإجراءات يعد باطلاً لمخالفته النظام العام، لأنها وضعت للتوفيق بين المصالح المتعارضة لكل من الدائن المرتهن والمدين الراهن (٥٣) . وقد سارت محكمة تمييز العراق في هذا الاتجاه أيضاً، وجاء في أحد أحكامها بأن ( من مقتضيات عقد الرهن بيع المرهون عند عدم تسديد الدين) (٥٤) . كما جاءت المادة (١٤١٩) من قانون المعاملات المدنية الاتحادي الإماراتي بنفس الحكم، ونصت على أن (۱) - للمرتهن أن يستوفي دينه من العقار المرهون عند حلول أجل الدين طبقاً لمرتبته وبعد اتخاذ الإجراءات النصوص عليها في قانون الإجراءات أمام المحاكم المدنية والقوانين الخاصة. ۲ - فإذا لم يف العقار بدينه كان له الرجوع بباقي دينه على أموال المدين كدائن عادي).</w:t>
      </w:r>
    </w:p>
    <w:bookmarkStart w:id="47" w:name="Xc5080e395f8b4021e79ce7e2b155e2dbe5b4117"/>
    <w:p>
      <w:pPr>
        <w:pStyle w:val="Heading2"/>
        <w:bidi/>
      </w:pPr>
      <w:r>
        <w:rPr>
          <w:rtl/>
        </w:rPr>
        <w:t xml:space="preserve">ثانياً: من حيث تحقق مفهوم غلق الرهن المتعارف عليه في الفقه الإسلامي:</w:t>
      </w:r>
    </w:p>
    <w:p>
      <w:pPr>
        <w:bidi/>
      </w:pPr>
      <w:r>
        <w:rPr>
          <w:rtl/>
        </w:rPr>
        <w:t xml:space="preserve">على الرغم من أن المادتين (۱۳۰۱) من القانون المدني العراقي، و (١٤٢٠) من قانون المعاملات المدنية الاتحادي الإماراتي أدرجتا كلاً من شرط تملك الدائن المرتهن للمال المرهون عند عدم الوفاء، وشرط بيع العقار المرهون دون المرور بالإجراءات القانونية، أو الطريق الممهد تحت عنوان غلق الرهن. إلا أن مفهوم غلق الرهن يتحقق، وعلى نحو أوضح في شرط تملك الدائن المرتهن للمال المرهون عند عدم الوفاء، من شرط الطريق الممهد لأن غلق الرهن ينطوي على معنى تملك المرتهن للمال المرهون، خلافاً لشرط الطريق الممهد الذي لا يؤدي إلى تملك المرتهن للمال المرهون مباشرةً، ولكن إلى بيعه من دون مراعاة الإجراءات القانونية. ويتحقق هذا المفهوم بوضوح في حديث رسول الله عليه الصلاة والسلام ( لا يغلق الرهن من صاحبه الذي رهنه،</w:t>
      </w:r>
    </w:p>
    <w:p>
      <w:r>
        <w:pict>
          <v:rect style="width:0;height:1.5pt" o:hralign="center" o:hrstd="t" o:hr="t"/>
        </w:pict>
      </w:r>
    </w:p>
    <w:p>
      <w:pPr>
        <w:bidi/>
      </w:pPr>
      <w:r>
        <w:rPr>
          <w:rtl/>
        </w:rPr>
        <w:t xml:space="preserve">(٥٣) محمد طه البشير ود. غني حسون طه. الحقوق العينية. الجزء الثاني. مصدر سابق. ص٤٢٨.</w:t>
      </w:r>
    </w:p>
    <w:p>
      <w:pPr>
        <w:bidi/>
      </w:pPr>
      <w:r>
        <w:rPr>
          <w:rtl/>
        </w:rPr>
        <w:t xml:space="preserve">(٥٤) حكم محكمة تمييز العراق ذو الرقم (١٣٣ / صلحية / ٥٦) في ٢٢/ ٢ / ١٩٥٦ نقلاً عن سلمان بيات. القضاء المدني العراقي. الجزء الثاني. شركة الطبع والنشر الأهلية بغداد. ١٩٦٢. ص ٧٠٢.</w:t>
      </w:r>
    </w:p>
    <w:bookmarkEnd w:id="47"/>
    <w:bookmarkEnd w:id="48"/>
    <w:p>
      <w:pPr>
        <w:bidi/>
      </w:pPr>
      <w:r>
        <w:rPr>
          <w:rtl/>
        </w:rPr>
        <w:t xml:space="preserve">426</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20</w:t>
      </w:r>
    </w:p>
    <w:p>
      <w:r>
        <w:pict>
          <v:rect style="width:0;height:1.5pt" o:hralign="center" o:hrstd="t" o:hr="t"/>
        </w:pict>
      </w:r>
    </w:p>
    <w:p>
      <w:pPr>
        <w:bidi/>
      </w:pPr>
      <w:r>
        <w:rPr>
          <w:rtl/>
        </w:rPr>
        <w:t xml:space="preserve">Ali: ??? ????? ?? ??????? ????????? ????? ??????? ?????? ?????? ???????? ???????? ???????</w:t>
      </w:r>
    </w:p>
    <w:bookmarkStart w:id="49" w:name="د.يونس-صلاح-الدين-علي-1"/>
    <w:p>
      <w:pPr>
        <w:pStyle w:val="Heading2"/>
        <w:bidi/>
      </w:pP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 "إن لم آتك بمالك فالرهن لك". وهو بهذا المعنى يناقض مفهوم فك الرهن الذي يعني إطلاق قيده من المرتهن. فإذا فك الراهن الرهن فقد أطلقه من وثاقه عند مرتهنه (٥٥) . فغلق الرهن يعني ملك المرتهن للمرهون واستحقاقه له، لعجز الراهن عن فكه (٥٦) .</w:t>
      </w:r>
    </w:p>
    <w:bookmarkEnd w:id="49"/>
    <w:bookmarkStart w:id="53" w:name="المبحث-الثاني"/>
    <w:p>
      <w:pPr>
        <w:pStyle w:val="Heading2"/>
        <w:bidi/>
      </w:pPr>
      <w:r>
        <w:rPr>
          <w:rtl/>
        </w:rPr>
        <w:t xml:space="preserve">المبحث الثاني</w:t>
      </w:r>
    </w:p>
    <w:bookmarkStart w:id="50" w:name="X76be8e7e694d457f26470d9b5e1b01d288c08ac"/>
    <w:p>
      <w:pPr>
        <w:pStyle w:val="Heading3"/>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50"/>
    <w:bookmarkStart w:id="51" w:name="المطلب-الأول"/>
    <w:p>
      <w:pPr>
        <w:pStyle w:val="Heading3"/>
        <w:bidi/>
      </w:pPr>
      <w:r>
        <w:rPr>
          <w:rtl/>
        </w:rPr>
        <w:t xml:space="preserve">المطلب الأول</w:t>
      </w:r>
    </w:p>
    <w:bookmarkEnd w:id="51"/>
    <w:bookmarkStart w:id="52" w:name="الاتجاه-المبطل-لغلق-الرهن"/>
    <w:p>
      <w:pPr>
        <w:pStyle w:val="Heading3"/>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 (لا يغلق الرهن من صاحبه الذي رهنه ، له غنمه وعليه غُرمه) (٥٧). فقد أبطله بعد أن كان</w:t>
      </w:r>
    </w:p>
    <w:p>
      <w:pPr>
        <w:numPr>
          <w:ilvl w:val="0"/>
          <w:numId w:val="1005"/>
        </w:numPr>
        <w:pStyle w:val="Compact"/>
        <w:bidi/>
      </w:pPr>
      <w:r>
        <w:rPr>
          <w:rtl/>
        </w:rPr>
        <w:t xml:space="preserve">محمد بن علي بن محمد الشوكاني. نيل الأوطار . مصدر سابق. ص۱۰۳۷.</w:t>
      </w:r>
    </w:p>
    <w:p>
      <w:pPr>
        <w:numPr>
          <w:ilvl w:val="0"/>
          <w:numId w:val="1005"/>
        </w:numPr>
        <w:pStyle w:val="Compact"/>
        <w:bidi/>
      </w:pPr>
      <w:r>
        <w:rPr>
          <w:rtl/>
        </w:rPr>
        <w:t xml:space="preserve">د. منصور حاتم محسن الفتلاوي وزينب حسين يوسف الغرابي. مصدر سابق. ص۳۹.</w:t>
      </w:r>
    </w:p>
    <w:p>
      <w:pPr>
        <w:numPr>
          <w:ilvl w:val="0"/>
          <w:numId w:val="1005"/>
        </w:numPr>
        <w:pStyle w:val="Compact"/>
        <w:bidi/>
      </w:pPr>
      <w:r>
        <w:rPr>
          <w:rtl/>
        </w:rPr>
        <w:t xml:space="preserve">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rPr>
        <w:t xml:space="preserve">427</w:t>
      </w:r>
    </w:p>
    <w:p>
      <w:pPr>
        <w:bidi/>
      </w:pPr>
      <w:r>
        <w:rPr>
          <w:rtl/>
        </w:rPr>
        <w:t xml:space="preserve">Published by Scholarworks@UAEU, 2022</w:t>
      </w:r>
    </w:p>
    <w:p>
      <w:pPr>
        <w:bidi/>
      </w:pPr>
      <w:r>
        <w:rPr>
          <w:rtl/>
        </w:rPr>
        <w:t xml:space="preserve">العدد الواحد والتسعون - ذو الحجة 1443 هـ</w:t>
      </w:r>
      <w:r>
        <w:rPr>
          <w:rtl/>
        </w:rPr>
        <w:t xml:space="preserve"> </w:t>
      </w:r>
      <w:r>
        <w:t xml:space="preserve">يوليو 2022</w:t>
      </w:r>
      <w:r>
        <w:rPr>
          <w:rtl/>
        </w:rPr>
        <w:t xml:space="preserve">]</w:t>
      </w:r>
    </w:p>
    <w:p>
      <w:pPr>
        <w:bidi/>
      </w:pPr>
      <w:r>
        <w:rPr>
          <w:rtl/>
        </w:rPr>
        <w:t xml:space="preserve">21</w:t>
      </w:r>
    </w:p>
    <w:p>
      <w:r>
        <w:pict>
          <v:rect style="width:0;height:1.5pt" o:hralign="center" o:hrstd="t" o:hr="t"/>
        </w:pict>
      </w:r>
    </w:p>
    <w:p>
      <w:pPr>
        <w:bidi/>
      </w:pPr>
      <w:r>
        <w:rPr>
          <w:rtl/>
        </w:rPr>
        <w:t xml:space="preserve">Journal Sharia and Law, Vol. 2022, No. 91 [2022], Art. 7</w:t>
      </w:r>
    </w:p>
    <w:bookmarkEnd w:id="52"/>
    <w:bookmarkEnd w:id="53"/>
    <w:bookmarkStart w:id="54" w:name="X30dc76a65a07dc25b5900d7762180b93cc2e27b"/>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bidi/>
      </w:pPr>
      <w:r>
        <w:rPr>
          <w:rtl/>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١٩٩٧. ص٢٨٧.</w:t>
      </w:r>
    </w:p>
    <w:p>
      <w:pPr>
        <w:numPr>
          <w:ilvl w:val="0"/>
          <w:numId w:val="1006"/>
        </w:numPr>
        <w:pStyle w:val="Compact"/>
        <w:bidi/>
      </w:pPr>
      <w:r>
        <w:rPr>
          <w:rtl/>
        </w:rPr>
        <w:t xml:space="preserve">(٥٨) محمد بن علي بن محمد الشوكاني. نيل الأوطار. مصدر سابق. ص١٠٣٧.</w:t>
      </w:r>
    </w:p>
    <w:p>
      <w:pPr>
        <w:numPr>
          <w:ilvl w:val="0"/>
          <w:numId w:val="1006"/>
        </w:numPr>
        <w:pStyle w:val="Compact"/>
        <w:bidi/>
      </w:pPr>
      <w:r>
        <w:rPr>
          <w:rtl/>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6"/>
        </w:numPr>
        <w:pStyle w:val="Compact"/>
        <w:bidi/>
      </w:pPr>
      <w:r>
        <w:rPr>
          <w:rtl/>
        </w:rPr>
        <w:t xml:space="preserve">(٦٠) شمس الدين السرخسي . المبسوط. الجزء الحادي والعشرون. دار المعرفة بيروت. ١٩٨٩. ص٦٦.</w:t>
      </w:r>
    </w:p>
    <w:p>
      <w:pPr>
        <w:numPr>
          <w:ilvl w:val="0"/>
          <w:numId w:val="1006"/>
        </w:numPr>
        <w:pStyle w:val="Compact"/>
        <w:bidi/>
      </w:pPr>
      <w:r>
        <w:rPr>
          <w:rtl/>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rPr>
        <w:t xml:space="preserve">428 السنة السادسة والثلاثون - مجلة جامعة الإمارات ]</w:t>
      </w:r>
    </w:p>
    <w:p>
      <w:pPr>
        <w:pStyle w:val="BodyText"/>
      </w:pPr>
      <w:r>
        <w:t xml:space="preserve">https://scholarworks.uaeu.ac.ae/sharia_and_law/vol2022/iss91/7</w:t>
      </w:r>
    </w:p>
    <w:p>
      <w:pPr>
        <w:pStyle w:val="BodyText"/>
      </w:pPr>
      <w:r>
        <w:t xml:space="preserve">22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bidi/>
      </w:pPr>
      <w:r>
        <w:rPr>
          <w:rtl/>
        </w:rPr>
        <w:t xml:space="preserve">429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23</w:t>
      </w:r>
    </w:p>
    <w:p>
      <w:r>
        <w:pict>
          <v:rect style="width:0;height:1.5pt" o:hralign="center" o:hrstd="t" o:hr="t"/>
        </w:pict>
      </w:r>
    </w:p>
    <w:p>
      <w:pPr>
        <w:bidi/>
      </w:pPr>
      <w:r>
        <w:rPr>
          <w:rtl/>
        </w:rPr>
        <w:t xml:space="preserve">Journal Sharia and Law, Vol. 2022, No. 91 [2022], Art. 7</w:t>
      </w:r>
    </w:p>
    <w:bookmarkEnd w:id="54"/>
    <w:bookmarkStart w:id="58" w:name="X3b7a456011971ad3a31db997a17bd7393e0281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التجارية الاتحادي الإماراتي رقم (١٨) لسنة ١٩٩٣(٦٥).</w:t>
      </w:r>
    </w:p>
    <w:bookmarkStart w:id="57" w:name="المطلب-الثاني-1"/>
    <w:p>
      <w:pPr>
        <w:pStyle w:val="Heading2"/>
        <w:bidi/>
      </w:pPr>
      <w:r>
        <w:rPr>
          <w:rtl/>
        </w:rPr>
        <w:t xml:space="preserve">المطلب الثاني</w:t>
      </w:r>
    </w:p>
    <w:bookmarkStart w:id="55"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rPr>
        <w:t xml:space="preserve">430 السنة السادسة والثلاثون - مجلة جامعة الإمارات ]</w:t>
      </w:r>
    </w:p>
    <w:p>
      <w:pPr>
        <w:bidi/>
      </w:pPr>
      <w:r>
        <w:rPr>
          <w:rtl/>
        </w:rPr>
        <w:t xml:space="preserve">https://scholarworks.uaeu.ac.ae/sharia_and_law/vol2022/iss91/7</w:t>
      </w:r>
    </w:p>
    <w:p>
      <w:pPr>
        <w:bidi/>
      </w:pPr>
      <w:r>
        <w:rPr>
          <w:rtl/>
        </w:rPr>
        <w:t xml:space="preserve">24</w:t>
      </w:r>
    </w:p>
    <w:p>
      <w:r>
        <w:pict>
          <v:rect style="width:0;height:1.5pt" o:hralign="center" o:hrstd="t" o:hr="t"/>
        </w:pict>
      </w:r>
    </w:p>
    <w:p>
      <w:pPr>
        <w:bidi/>
      </w:pPr>
      <w:r>
        <w:rPr>
          <w:rtl/>
        </w:rPr>
        <w:t xml:space="preserve">Ali: ??? ????? ?? ??????? ????????? ????? ??????? ?????? ?????? ???????? ???????? ???????</w:t>
      </w:r>
    </w:p>
    <w:bookmarkEnd w:id="55"/>
    <w:bookmarkStart w:id="56" w:name="د.يونس-صلاح-الدين-علي-2"/>
    <w:p>
      <w:pPr>
        <w:pStyle w:val="Heading3"/>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w:t>
      </w:r>
    </w:p>
    <w:p>
      <w:pPr>
        <w:bidi/>
      </w:pPr>
      <w:r>
        <w:rPr>
          <w:rtl/>
        </w:rPr>
        <w:t xml:space="preserve">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w:t>
      </w:r>
    </w:p>
    <w:p>
      <w:pPr>
        <w:bidi/>
      </w:pPr>
      <w:r>
        <w:rPr>
          <w:rtl/>
        </w:rPr>
        <w:t xml:space="preserve">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w:t>
      </w:r>
    </w:p>
    <w:p>
      <w:pPr>
        <w:bidi/>
      </w:pPr>
      <w:r>
        <w:rPr>
          <w:rtl/>
        </w:rPr>
        <w:t xml:space="preserve">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w:t>
      </w:r>
    </w:p>
    <w:p>
      <w:pPr>
        <w:bidi/>
      </w:pPr>
      <w:r>
        <w:rPr>
          <w:rtl/>
        </w:rPr>
        <w:t xml:space="preserve">وقد سارت الفقرة الثانية من المادة (١٠٥٢) من القانون المدني المصري في هذا الاتجاه وأجازت غلق الرهن، إذ نصت</w:t>
      </w:r>
    </w:p>
    <w:p>
      <w:pPr>
        <w:bidi/>
      </w:pPr>
      <w:r>
        <w:rPr>
          <w:rtl/>
        </w:rPr>
        <w:t xml:space="preserve">431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25</w:t>
      </w:r>
    </w:p>
    <w:p>
      <w:r>
        <w:pict>
          <v:rect style="width:0;height:1.5pt" o:hralign="center" o:hrstd="t" o:hr="t"/>
        </w:pict>
      </w:r>
    </w:p>
    <w:p>
      <w:pPr>
        <w:bidi/>
      </w:pPr>
      <w:r>
        <w:rPr>
          <w:rtl/>
        </w:rPr>
        <w:t xml:space="preserve">Journal Sharia and Law, Vol. 2022, No. 91 [2022], Art. 7</w:t>
      </w:r>
    </w:p>
    <w:bookmarkEnd w:id="56"/>
    <w:bookmarkEnd w:id="57"/>
    <w:bookmarkEnd w:id="58"/>
    <w:bookmarkStart w:id="61" w:name="Xdcf782601a0e7c963d0fe4f448a824a7a417c9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على أنه (ولكن يجوز بعد حلول الدين أو قسط منه الاتفاق على أن ينزل المدين لدائنه عن العقار</w:t>
      </w:r>
      <w:r>
        <w:rPr>
          <w:rtl/>
        </w:rPr>
        <w:t xml:space="preserve"> </w:t>
      </w:r>
      <w:r>
        <w:rPr>
          <w:rtl/>
        </w:rPr>
        <w:t xml:space="preserve">المرهون وفاء لدينه) . فإذا أبرم الاتفاق بين الدائن المرتهن والمدين الراهن على نزول الراهن للمرتهن</w:t>
      </w:r>
      <w:r>
        <w:rPr>
          <w:rtl/>
        </w:rPr>
        <w:t xml:space="preserve"> </w:t>
      </w:r>
      <w:r>
        <w:rPr>
          <w:rtl/>
        </w:rPr>
        <w:t xml:space="preserve">عن العقار المرهون وفاءً لدينه وتملك الأخير للعقار في مقابل الدين المضمون، صح ذلك الاتفاق</w:t>
      </w:r>
      <w:r>
        <w:rPr>
          <w:rtl/>
        </w:rPr>
        <w:t xml:space="preserve"> </w:t>
      </w:r>
      <w:r>
        <w:rPr>
          <w:rtl/>
        </w:rPr>
        <w:t xml:space="preserve">إذا تم بعد حلول الدين كله أو قسط منه. لأن شرط تملك العقار المرهون عند عدم الوفاء لا ينطوي</w:t>
      </w:r>
      <w:r>
        <w:rPr>
          <w:rtl/>
        </w:rPr>
        <w:t xml:space="preserve"> </w:t>
      </w:r>
      <w:r>
        <w:rPr>
          <w:rtl/>
        </w:rPr>
        <w:t xml:space="preserve">على استغلال الراهن في هذه الحالة (٦٧) . كما أجازت الفقرة الثانية من المادة (١٧٦) من قانون</w:t>
      </w:r>
      <w:r>
        <w:rPr>
          <w:rtl/>
        </w:rPr>
        <w:t xml:space="preserve"> </w:t>
      </w:r>
      <w:r>
        <w:rPr>
          <w:rtl/>
        </w:rPr>
        <w:t xml:space="preserve">المعاملات التجارية الاتحادي الإماراتي رقم (١٨) لسنة ١٩٩٣(٦٨) للراهن، في مجال الرهن</w:t>
      </w:r>
      <w:r>
        <w:rPr>
          <w:rtl/>
        </w:rPr>
        <w:t xml:space="preserve"> </w:t>
      </w:r>
      <w:r>
        <w:rPr>
          <w:rtl/>
        </w:rPr>
        <w:t xml:space="preserve">التجاري، أن يتنازل للدائن المرتهن، وبمقتضى اتفاق لاحق، عن المرهون أو جزء منه بعد حلول</w:t>
      </w:r>
      <w:r>
        <w:rPr>
          <w:rtl/>
        </w:rPr>
        <w:t xml:space="preserve"> </w:t>
      </w:r>
      <w:r>
        <w:rPr>
          <w:rtl/>
        </w:rPr>
        <w:t xml:space="preserve">أجل الدين أو الوفاء بقسط منه، وذلك وفاءً للدين أو لجانب منه. وسارت المادة (۲۷) من قانون</w:t>
      </w:r>
      <w:r>
        <w:rPr>
          <w:rtl/>
        </w:rPr>
        <w:t xml:space="preserve"> </w:t>
      </w:r>
      <w:r>
        <w:rPr>
          <w:rtl/>
        </w:rPr>
        <w:t xml:space="preserve">رهن الأموال المنقولة الاتحادي الإماراتي رقم (۲۰) لسنة ٢٠١٦(٦٩) في نفس الاتجاه أيضاً،</w:t>
      </w:r>
      <w:r>
        <w:rPr>
          <w:rtl/>
        </w:rPr>
        <w:t xml:space="preserve"> </w:t>
      </w:r>
      <w:r>
        <w:rPr>
          <w:rtl/>
        </w:rPr>
        <w:t xml:space="preserve">وأعطت للدائن المرتهن الحق في وضع اليد على المال المرهون والتنفيذ عليه وفصله عن أي مال آخر</w:t>
      </w:r>
      <w:r>
        <w:rPr>
          <w:rtl/>
        </w:rPr>
        <w:t xml:space="preserve"> </w:t>
      </w:r>
      <w:r>
        <w:rPr>
          <w:rtl/>
        </w:rPr>
        <w:t xml:space="preserve">ملحق به وبيعه بسعر السوق، إذا تم الاتفاق على التنفيذ من دون اللجوء إلى القضاء. ويعد ذلك</w:t>
      </w:r>
      <w:r>
        <w:rPr>
          <w:rtl/>
        </w:rPr>
        <w:t xml:space="preserve"> </w:t>
      </w:r>
      <w:r>
        <w:rPr>
          <w:rtl/>
        </w:rPr>
        <w:t xml:space="preserve">تجسيداً لشرط الطريق الممهد، أو ما يعرف بشرط الاتفاق على بيع العقار المرهون دون المرور</w:t>
      </w:r>
    </w:p>
    <w:p>
      <w:r>
        <w:pict>
          <v:rect style="width:0;height:1.5pt" o:hralign="center" o:hrstd="t" o:hr="t"/>
        </w:pict>
      </w:r>
    </w:p>
    <w:p>
      <w:pPr>
        <w:bidi/>
      </w:pPr>
      <w:r>
        <w:rPr>
          <w:rtl/>
        </w:rPr>
        <w:t xml:space="preserve">(٦٧) د. عبد الرزاق أحمد السنهوري. الوسيط في شرح القانون المدني . ج . ۱۰. مصدر سابق. ص ٣٣٥.</w:t>
      </w:r>
    </w:p>
    <w:p>
      <w:pPr>
        <w:bidi/>
      </w:pPr>
      <w:r>
        <w:rPr>
          <w:rtl/>
        </w:rPr>
        <w:t xml:space="preserve">(٦٨) نصت الفقرة الثانية من المادة (١٧٦) من قانون المعاملات التجارية الاتحادي الإماراتي رقم (١٨) لسنة ١٩٩٣ على</w:t>
      </w:r>
      <w:r>
        <w:rPr>
          <w:rtl/>
        </w:rPr>
        <w:t xml:space="preserve"> </w:t>
      </w:r>
      <w:r>
        <w:rPr>
          <w:rtl/>
        </w:rPr>
        <w:t xml:space="preserve">أنه ( ومع ذلك يجوز بعد حلول الدين أو قسط منه الاتفاق على أن ينزل المدين لدائنه عن الشيء المرهون أو جزء منه وفاء</w:t>
      </w:r>
      <w:r>
        <w:rPr>
          <w:rtl/>
        </w:rPr>
        <w:t xml:space="preserve"> </w:t>
      </w:r>
      <w:r>
        <w:rPr>
          <w:rtl/>
        </w:rPr>
        <w:t xml:space="preserve">للدين أو الجانب منه).</w:t>
      </w:r>
    </w:p>
    <w:p>
      <w:pPr>
        <w:bidi/>
      </w:pPr>
      <w:r>
        <w:rPr>
          <w:rtl/>
        </w:rPr>
        <w:t xml:space="preserve">(٦٩) نصت المادة (۲۷) من قانون رهن الأموال المنقولة الاتحادي الإماراتي رقم (٢٠) لسنة (٢٠١٦) على أنه (في حال</w:t>
      </w:r>
      <w:r>
        <w:rPr>
          <w:rtl/>
        </w:rPr>
        <w:t xml:space="preserve"> </w:t>
      </w:r>
      <w:r>
        <w:rPr>
          <w:rtl/>
        </w:rPr>
        <w:t xml:space="preserve">إخلال الراهن أو المضمون عنه بالالتزامات المترتبة عليه بموجب عقد الرهن أو إذا لم يتم تنفيذ ذلك الاتفاق لأي سبب</w:t>
      </w:r>
      <w:r>
        <w:rPr>
          <w:rtl/>
        </w:rPr>
        <w:t xml:space="preserve"> </w:t>
      </w:r>
      <w:r>
        <w:rPr>
          <w:rtl/>
        </w:rPr>
        <w:t xml:space="preserve">آخر، للمرتهن إخطار الراهن والمضمون عنه خطياً لتمكينه من وضع يده على محل الرهن والتنفيذ عليه وفصله عن أي</w:t>
      </w:r>
      <w:r>
        <w:rPr>
          <w:rtl/>
        </w:rPr>
        <w:t xml:space="preserve"> </w:t>
      </w:r>
      <w:r>
        <w:rPr>
          <w:rtl/>
        </w:rPr>
        <w:t xml:space="preserve">مال آخر ملحق به وبيعه بسعر السوق خلال مدة لا تقل عن عشرة أيام عمل من تاريخ وصول الإخطار للراهن</w:t>
      </w:r>
      <w:r>
        <w:rPr>
          <w:rtl/>
        </w:rPr>
        <w:t xml:space="preserve"> </w:t>
      </w:r>
      <w:r>
        <w:rPr>
          <w:rtl/>
        </w:rPr>
        <w:t xml:space="preserve">والمضمون عنه، على أن يتم ذلك وفق الشروط الآتية : ١ - أن يتم الاتفاق على التنفيذ دون اللجوء للمحكمة ٢- أن لا</w:t>
      </w:r>
      <w:r>
        <w:rPr>
          <w:rtl/>
        </w:rPr>
        <w:t xml:space="preserve"> </w:t>
      </w:r>
      <w:r>
        <w:rPr>
          <w:rtl/>
        </w:rPr>
        <w:t xml:space="preserve">يكون محل الرهن مثقلاً بأي حق رهن آخر، وفي حال وجود حق رهن آخر تم إنشاؤه على ذات محل الرهن وفق أحكام</w:t>
      </w:r>
      <w:r>
        <w:rPr>
          <w:rtl/>
        </w:rPr>
        <w:t xml:space="preserve"> </w:t>
      </w:r>
      <w:r>
        <w:rPr>
          <w:rtl/>
        </w:rPr>
        <w:t xml:space="preserve">هذا القانون، فيتوجب الحصول على الموافقة الخطية لجميع المرتهنين على ذلك -٣- إخطار حائز محل الرهن المثبت في</w:t>
      </w:r>
      <w:r>
        <w:rPr>
          <w:rtl/>
        </w:rPr>
        <w:t xml:space="preserve"> </w:t>
      </w:r>
      <w:r>
        <w:rPr>
          <w:rtl/>
        </w:rPr>
        <w:t xml:space="preserve">السجل إذا كان محل الرهن في حيازة الغير ٤ - إخطار مالك العقار الذي يوجد فيه محل الرهن أو الدائن المرتهن لذلك</w:t>
      </w:r>
      <w:r>
        <w:rPr>
          <w:rtl/>
        </w:rPr>
        <w:t xml:space="preserve"> </w:t>
      </w:r>
      <w:r>
        <w:rPr>
          <w:rtl/>
        </w:rPr>
        <w:t xml:space="preserve">العقار، ومالك المال المنقول الذي ألحق به محل الرهن وحائز ذلك المال، وذلك إذا كان محل الرهن عقاراً بالتخصيص).</w:t>
      </w:r>
    </w:p>
    <w:p>
      <w:pPr>
        <w:bidi/>
      </w:pPr>
      <w:r>
        <w:rPr>
          <w:rtl/>
        </w:rPr>
        <w:t xml:space="preserve">432</w:t>
      </w:r>
      <w:r>
        <w:rPr>
          <w:rtl/>
        </w:rPr>
        <w:t xml:space="preserve"> </w:t>
      </w:r>
      <w:r>
        <w:rPr>
          <w:rtl/>
        </w:rPr>
        <w:t xml:space="preserve">السنة السادسة والثلاثون - مجلة جامعة الإمارات ]</w:t>
      </w:r>
    </w:p>
    <w:p>
      <w:pPr>
        <w:bidi/>
      </w:pPr>
      <w:r>
        <w:rPr>
          <w:rtl/>
        </w:rPr>
        <w:t xml:space="preserve">26</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بالإجراءات القانونية (٧٠). كما أجازت المادة (۲۸) من هذا القانون (۷۱) أيضاً للدائن المرتهن التنفيذ</w:t>
      </w:r>
      <w:r>
        <w:rPr>
          <w:rtl/>
        </w:rPr>
        <w:t xml:space="preserve"> </w:t>
      </w:r>
      <w:r>
        <w:rPr>
          <w:rtl/>
        </w:rPr>
        <w:t xml:space="preserve">على محل الرهن عن طريق استيفاء حقه منه مباشرةً دون اللجوء إلى أية إجراءات قضائية، في حالة</w:t>
      </w:r>
      <w:r>
        <w:rPr>
          <w:rtl/>
        </w:rPr>
        <w:t xml:space="preserve"> </w:t>
      </w:r>
      <w:r>
        <w:rPr>
          <w:rtl/>
        </w:rPr>
        <w:t xml:space="preserve">إخلال الراهن أو المضمون عنه بالالتزامات المترتبة عليه بموجب عقد الرهن. إذا كان محل الرهن</w:t>
      </w:r>
      <w:r>
        <w:rPr>
          <w:rtl/>
        </w:rPr>
        <w:t xml:space="preserve"> </w:t>
      </w:r>
      <w:r>
        <w:rPr>
          <w:rtl/>
        </w:rPr>
        <w:t xml:space="preserve">حسابات دائنة لدى البنوك، أو سندات أو وثائق خطية قابلة لنقل الملكية عن طريق التسليم أو</w:t>
      </w:r>
      <w:r>
        <w:rPr>
          <w:rtl/>
        </w:rPr>
        <w:t xml:space="preserve"> </w:t>
      </w:r>
      <w:r>
        <w:rPr>
          <w:rtl/>
        </w:rPr>
        <w:t xml:space="preserve">التظهير، أو أوراقاً قابلة التظهير أو التسليم. ويتشابه هذا الاتجاه أيضاً مع موقف القانون الإنجليزي</w:t>
      </w:r>
      <w:r>
        <w:rPr>
          <w:rtl/>
        </w:rPr>
        <w:t xml:space="preserve"> </w:t>
      </w:r>
      <w:r>
        <w:rPr>
          <w:rtl/>
        </w:rPr>
        <w:t xml:space="preserve">الذي تبنى غلق الرهن بوصفه من أكثر المعالجات الإنصافية صرامة أو قسوة، والتي تمكن الدائن</w:t>
      </w:r>
      <w:r>
        <w:rPr>
          <w:rtl/>
        </w:rPr>
        <w:t xml:space="preserve"> </w:t>
      </w:r>
      <w:r>
        <w:rPr>
          <w:rtl/>
        </w:rPr>
        <w:t xml:space="preserve">المرتهن من تملك المال المرهون، وإنهاء حقه المدين الراهن في فك الرهن واستعادة المال المرهون.</w:t>
      </w:r>
    </w:p>
    <w:bookmarkStart w:id="60" w:name="المبحث-الثالث"/>
    <w:p>
      <w:pPr>
        <w:pStyle w:val="Heading2"/>
        <w:bidi/>
      </w:pPr>
      <w:r>
        <w:rPr>
          <w:rtl/>
        </w:rPr>
        <w:t xml:space="preserve">المبحث الثالث</w:t>
      </w:r>
    </w:p>
    <w:bookmarkStart w:id="59" w:name="X0b208a153fbf08155f9abdc2e063c30d520b1f4"/>
    <w:p>
      <w:pPr>
        <w:pStyle w:val="Heading3"/>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w:t>
      </w:r>
      <w:r>
        <w:rPr>
          <w:rtl/>
        </w:rPr>
        <w:t xml:space="preserve"> </w:t>
      </w:r>
      <w:r>
        <w:rPr>
          <w:rtl/>
        </w:rPr>
        <w:t xml:space="preserve">بالرهن عند حلول موعد الاستحقاق (۷۲)، فغلق الرهن لا يتحقق إلا إذا أخفق المدين الراهن</w:t>
      </w:r>
    </w:p>
    <w:p>
      <w:pPr>
        <w:bidi/>
      </w:pPr>
      <w:r>
        <w:rPr>
          <w:rtl/>
        </w:rPr>
        <w:t xml:space="preserve">(٧٠) د. عبد الرزاق أحمد السنهوري. الوسيط في شرح القانون المدني . ج ۱۰ . المصدر نفسه. ص ٣٣٤.</w:t>
      </w:r>
    </w:p>
    <w:p>
      <w:pPr>
        <w:bidi/>
      </w:pPr>
      <w:r>
        <w:rPr>
          <w:rtl/>
        </w:rPr>
        <w:t xml:space="preserve">(٧١) نصت المادة (۲۸) من قانون رهن الأموال المنقولة الاتحادي الإماراتي رقم (۲۰) لسنة (٢٠١٦) على أن (للمرتهن</w:t>
      </w:r>
      <w:r>
        <w:rPr>
          <w:rtl/>
        </w:rPr>
        <w:t xml:space="preserve"> </w:t>
      </w:r>
      <w:r>
        <w:rPr>
          <w:rtl/>
        </w:rPr>
        <w:t xml:space="preserve">في حالة إخلال الراهن أو المضمون عنه بالالتزامات المترتبة عليه بموجب عقد الرهن التنفيذ على محل الرهن عن طريق</w:t>
      </w:r>
      <w:r>
        <w:rPr>
          <w:rtl/>
        </w:rPr>
        <w:t xml:space="preserve"> </w:t>
      </w:r>
      <w:r>
        <w:rPr>
          <w:rtl/>
        </w:rPr>
        <w:t xml:space="preserve">استيفاء حقه من محل الرهن مباشرة من دون اللجوء لأي إجراءات قضائية في أي من الحالات الآتية : ١ - إذا كان محل</w:t>
      </w:r>
      <w:r>
        <w:rPr>
          <w:rtl/>
        </w:rPr>
        <w:t xml:space="preserve"> </w:t>
      </w:r>
      <w:r>
        <w:rPr>
          <w:rtl/>
        </w:rPr>
        <w:t xml:space="preserve">الرهن حسابات دائنة لدى البنوك فيتم تحصيلها مع النفقات عن طريق إجراء المقاصة إذا كان المرتهن هو البنك الذي</w:t>
      </w:r>
      <w:r>
        <w:rPr>
          <w:rtl/>
        </w:rPr>
        <w:t xml:space="preserve"> </w:t>
      </w:r>
      <w:r>
        <w:rPr>
          <w:rtl/>
        </w:rPr>
        <w:t xml:space="preserve">يحتفظ بذلك الحساب، وتتم المطالبة بمحل الرهن إذا كان الحساب لدى بنك آخر ٢- إذا كان محل الرهن سندات أو</w:t>
      </w:r>
      <w:r>
        <w:rPr>
          <w:rtl/>
        </w:rPr>
        <w:t xml:space="preserve"> </w:t>
      </w:r>
      <w:r>
        <w:rPr>
          <w:rtl/>
        </w:rPr>
        <w:t xml:space="preserve">وثائق خطية قابلة لنقل الملكية عن طريق التسليم أو التظهير فيتم التنفيذ عن طريق تسليمها أو تظهيرها إذا كانت قيمتها</w:t>
      </w:r>
      <w:r>
        <w:rPr>
          <w:rtl/>
        </w:rPr>
        <w:t xml:space="preserve"> </w:t>
      </w:r>
      <w:r>
        <w:rPr>
          <w:rtl/>
        </w:rPr>
        <w:t xml:space="preserve">مساوية لحق الرهن ٣- إذا كان محل الرهن أوراقاً قابلة للتظهير أو التسليم وتتعلق ببضائع فيتم التنفيذ عليها وفقاً للمادة</w:t>
      </w:r>
      <w:r>
        <w:rPr>
          <w:rtl/>
        </w:rPr>
        <w:t xml:space="preserve"> </w:t>
      </w:r>
      <w:r>
        <w:rPr>
          <w:rtl/>
        </w:rPr>
        <w:t xml:space="preserve">(۲۹) من هذا القانون ما لم تكن البضائع مساوية لحق الرهن ٤ - يتم تنفيذ حق الرهن في الأحوال المنصوص عليها في</w:t>
      </w:r>
      <w:r>
        <w:rPr>
          <w:rtl/>
        </w:rPr>
        <w:t xml:space="preserve"> </w:t>
      </w:r>
      <w:r>
        <w:rPr>
          <w:rtl/>
        </w:rPr>
        <w:t xml:space="preserve">هذه المادة من خلال قيام المرتهن بإخطار الراهن والمضمون عنه والبنك الذي يحتفظ بالحساب محل الرهن أو حامل</w:t>
      </w:r>
      <w:r>
        <w:rPr>
          <w:rtl/>
        </w:rPr>
        <w:t xml:space="preserve"> </w:t>
      </w:r>
      <w:r>
        <w:rPr>
          <w:rtl/>
        </w:rPr>
        <w:t xml:space="preserve">السندات أو الوثائق محل الرهن وذلك لنقل الحساب إلى الحساب البنكي الخاص بالمرتهن أو لتمكينه من حيازة الحساب</w:t>
      </w:r>
      <w:r>
        <w:rPr>
          <w:rtl/>
        </w:rPr>
        <w:t xml:space="preserve"> </w:t>
      </w:r>
      <w:r>
        <w:rPr>
          <w:rtl/>
        </w:rPr>
        <w:t xml:space="preserve">أو السندات أو الوثائق حسب الأحوال ٥- يجوز في عقد الرهن أو في اتفاق خطي مستقل بين المرتهن والراهن الاتفاق</w:t>
      </w:r>
      <w:r>
        <w:rPr>
          <w:rtl/>
        </w:rPr>
        <w:t xml:space="preserve"> </w:t>
      </w:r>
      <w:r>
        <w:rPr>
          <w:rtl/>
        </w:rPr>
        <w:t xml:space="preserve">على تنازل الراهن مسبقًا عن حق إخطاراه بإجراءات التنفيذ على محل الرهن الذي يتم وفق أحكام هذه المادة).</w:t>
      </w:r>
    </w:p>
    <w:p>
      <w:pPr>
        <w:bidi/>
      </w:pPr>
      <w:r>
        <w:rPr>
          <w:rtl/>
        </w:rPr>
        <w:t xml:space="preserve">(72) Daniel F. Hinkel. op. Cit. P.288.</w:t>
      </w:r>
    </w:p>
    <w:p>
      <w:pPr>
        <w:bidi/>
      </w:pPr>
      <w:r>
        <w:rPr>
          <w:rtl/>
        </w:rPr>
        <w:t xml:space="preserve">433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27</w:t>
      </w:r>
    </w:p>
    <w:p>
      <w:r>
        <w:pict>
          <v:rect style="width:0;height:1.5pt" o:hralign="center" o:hrstd="t" o:hr="t"/>
        </w:pict>
      </w:r>
    </w:p>
    <w:p>
      <w:pPr>
        <w:pStyle w:val="FirstParagraph"/>
      </w:pPr>
      <w:r>
        <w:t xml:space="preserve">Ali: ??? ????? ?? ??????? ????????? ????? ??????? ?????? ?????? ???????? ???????? ???????</w:t>
      </w:r>
    </w:p>
    <w:p>
      <w:pPr>
        <w:pStyle w:val="BodyText"/>
      </w:pPr>
      <w:r>
        <w:t xml:space="preserve">[د. يونس صلاح الدين علي]</w:t>
      </w:r>
    </w:p>
    <w:bookmarkEnd w:id="59"/>
    <w:bookmarkEnd w:id="60"/>
    <w:bookmarkEnd w:id="61"/>
    <w:bookmarkStart w:id="64" w:name="Xbe6f57bc3d32dd4bcaaaff2c6d9202c27d17532"/>
    <w:p>
      <w:pPr>
        <w:pStyle w:val="Heading1"/>
      </w:pPr>
      <w:r>
        <w:rPr>
          <w:lang w:val="en"/>
        </w:rPr>
        <w:t xml:space="preserve">Foreclosure in English law:</w:t>
      </w:r>
      <w:r>
        <w:br/>
      </w:r>
      <w:r>
        <w:rPr>
          <w:lang w:val="en"/>
        </w:rPr>
        <w:t xml:space="preserve">A Comparative Analytical Study of Islamic</w:t>
      </w:r>
      <w:r>
        <w:br/>
      </w:r>
      <w:r>
        <w:rPr>
          <w:lang w:val="en"/>
        </w:rPr>
        <w:t xml:space="preserve">Jurisprudence and Comparative Law*</w:t>
      </w:r>
    </w:p>
    <w:p>
      <w:pPr>
        <w:pStyle w:val="FirstParagraph"/>
      </w:pPr>
      <w:r>
        <w:rPr>
          <w:lang w:val="en"/>
        </w:rPr>
        <w:t xml:space="preserve">Dr. Yunus Salahuddin Ali</w:t>
      </w:r>
    </w:p>
    <w:p>
      <w:pPr>
        <w:pStyle w:val="BodyText"/>
      </w:pPr>
      <w:r>
        <w:rPr>
          <w:lang w:val="en"/>
        </w:rPr>
        <w:t xml:space="preserve">Assistant Professor of Private Law, College of Law,</w:t>
      </w:r>
      <w:r>
        <w:br/>
      </w:r>
      <w:r>
        <w:rPr>
          <w:lang w:val="en"/>
        </w:rPr>
        <w:t xml:space="preserve">International Relations and Diplomacy, Cihan University, Erbil, Iraq</w:t>
      </w:r>
    </w:p>
    <w:p>
      <w:pPr>
        <w:pStyle w:val="BodyText"/>
      </w:pPr>
      <w:hyperlink r:id="rId62">
        <w:r>
          <w:rPr>
            <w:rStyle w:val="Hyperlink"/>
            <w:lang w:val="en"/>
          </w:rPr>
          <w:t xml:space="preserve">younis888_sss@yahoo.com</w:t>
        </w:r>
      </w:hyperlink>
    </w:p>
    <w:bookmarkStart w:id="63" w:name="abstract"/>
    <w:p>
      <w:pPr>
        <w:pStyle w:val="Heading2"/>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bookmarkEnd w:id="63"/>
    <w:bookmarkEnd w:id="64"/>
    <w:p>
      <w:r>
        <w:pict>
          <v:rect style="width:0;height:1.5pt" o:hralign="center" o:hrstd="t" o:hr="t"/>
        </w:pict>
      </w:r>
    </w:p>
    <w:p>
      <w:pPr>
        <w:bidi/>
      </w:pPr>
      <w:r>
        <w:rPr>
          <w:rtl/>
        </w:rPr>
        <w:t xml:space="preserve">* Received on November 18, 2020 and authorized for publication on March 30, 2021</w:t>
      </w:r>
    </w:p>
    <w:p>
      <w:pPr>
        <w:pStyle w:val="BodyText"/>
      </w:pPr>
      <w:r>
        <w:rPr>
          <w:lang w:val="en"/>
        </w:rPr>
        <w:t xml:space="preserve">407</w:t>
      </w:r>
    </w:p>
    <w:p>
      <w:pPr>
        <w:bidi/>
      </w:pPr>
      <w:r>
        <w:rPr>
          <w:rtl/>
        </w:rPr>
        <w:t xml:space="preserve">[العدد الواحد والتسعون - ذو الحجة 1443 هـ يوليو 2022]</w:t>
      </w:r>
    </w:p>
    <w:p>
      <w:pPr>
        <w:pStyle w:val="BodyText"/>
      </w:pPr>
      <w:r>
        <w:t xml:space="preserve">Published by Scholarworks@UAEU, 2022</w:t>
      </w:r>
    </w:p>
    <w:p>
      <w:pPr>
        <w:pStyle w:val="BodyText"/>
      </w:pPr>
      <w:r>
        <w:t xml:space="preserve">1</w:t>
      </w:r>
    </w:p>
    <w:p>
      <w:r>
        <w:pict>
          <v:rect style="width:0;height:1.5pt" o:hralign="center" o:hrstd="t" o:hr="t"/>
        </w:pict>
      </w:r>
    </w:p>
    <w:p>
      <w:pPr>
        <w:bidi/>
      </w:pPr>
      <w:r>
        <w:rPr>
          <w:rtl/>
        </w:rPr>
        <w:t xml:space="preserve">Journal Sharia and Law, Vol. 2022, No. 91 [2022], Art. 7</w:t>
      </w:r>
    </w:p>
    <w:bookmarkStart w:id="65" w:name="X953e6dbfc83801efec2ab99c84ee225fc1b2fd4"/>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End w:id="65"/>
    <w:bookmarkStart w:id="70" w:name="المطلب-الأول-1"/>
    <w:p>
      <w:pPr>
        <w:pStyle w:val="Heading2"/>
        <w:bidi/>
      </w:pPr>
      <w:r>
        <w:rPr>
          <w:rtl/>
        </w:rPr>
        <w:t xml:space="preserve">المطلب الأول</w:t>
      </w:r>
    </w:p>
    <w:bookmarkStart w:id="66"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w:t>
      </w:r>
      <w:r>
        <w:rPr>
          <w:rtl/>
          <w:vertAlign w:val="superscript"/>
        </w:rPr>
        <w:t xml:space="preserve">(۷۳)</w:t>
      </w:r>
      <w:r>
        <w:rPr>
          <w:rtl/>
        </w:rPr>
        <w:t xml:space="preserve">، الذي يضمن استعادة المدين الراهن لحقه</w:t>
      </w:r>
      <w:r>
        <w:rPr>
          <w:rtl/>
        </w:rPr>
        <w:t xml:space="preserve"> </w:t>
      </w:r>
      <w:r>
        <w:rPr>
          <w:rtl/>
          <w:vertAlign w:val="superscript"/>
        </w:rPr>
        <w:t xml:space="preserve">(٧٤)</w:t>
      </w:r>
      <w:r>
        <w:rPr>
          <w:rtl/>
        </w:rPr>
        <w:t xml:space="preserve">، وإمكانية إبطال غلق الرهن وعلى النحو الآتي:</w:t>
      </w:r>
    </w:p>
    <w:bookmarkEnd w:id="66"/>
    <w:bookmarkStart w:id="67" w:name="الفرع-الأول-1"/>
    <w:p>
      <w:pPr>
        <w:pStyle w:val="Heading3"/>
        <w:bidi/>
      </w:pPr>
      <w:r>
        <w:rPr>
          <w:rtl/>
        </w:rPr>
        <w:t xml:space="preserve">الفرع الأول</w:t>
      </w:r>
    </w:p>
    <w:bookmarkEnd w:id="67"/>
    <w:bookmarkStart w:id="69" w:name="X7753bedef186d8410c4ae49d53dbc2ca4d8298c"/>
    <w:p>
      <w:pPr>
        <w:pStyle w:val="Heading3"/>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w:t>
      </w:r>
      <w:r>
        <w:rPr>
          <w:rtl/>
        </w:rPr>
        <w:t xml:space="preserve"> </w:t>
      </w:r>
      <w:r>
        <w:rPr>
          <w:rtl/>
          <w:vertAlign w:val="superscript"/>
        </w:rPr>
        <w:t xml:space="preserve">(٧٥)</w:t>
      </w:r>
      <w:r>
        <w:rPr>
          <w:rtl/>
        </w:rPr>
        <w:t xml:space="preserve">، خالصةً من أية حقوق للمدين</w:t>
      </w:r>
    </w:p>
    <w:p>
      <w:r>
        <w:pict>
          <v:rect style="width:0;height:1.5pt" o:hralign="center" o:hrstd="t" o:hr="t"/>
        </w:pict>
      </w:r>
    </w:p>
    <w:p>
      <w:pPr>
        <w:bidi/>
      </w:pPr>
      <w:r>
        <w:rPr>
          <w:rtl/>
        </w:rPr>
        <w:t xml:space="preserve">(73) E. H Burn and J. Cartwright. Cheshire and Burn's Modern law of Real Property. Eighteenth Edition. Oxford University Press. 2011.P.864.</w:t>
      </w:r>
    </w:p>
    <w:p>
      <w:pPr>
        <w:bidi/>
      </w:pPr>
      <w:r>
        <w:rPr>
          <w:rtl/>
        </w:rPr>
        <w:t xml:space="preserve">(74) Elizabeth Cooke. Modern Studies in Property Law. Volume 4. HART Publishing. 2007. P.83.</w:t>
      </w:r>
    </w:p>
    <w:p>
      <w:pPr>
        <w:bidi/>
      </w:pPr>
      <w:r>
        <w:rPr>
          <w:rtl/>
        </w:rPr>
        <w:t xml:space="preserve">(75) John wilman, Brown: GCSE Law, Nineth Edition, Thomson, Sweet and Maxwell, 2005, P.287.</w:t>
      </w:r>
    </w:p>
    <w:p>
      <w:pPr>
        <w:bidi/>
      </w:pPr>
      <w:r>
        <w:rPr>
          <w:rtl/>
        </w:rPr>
        <w:t xml:space="preserve">السنة السادسة والثلاثون - مجلة جامعة الإمارات]</w:t>
      </w:r>
    </w:p>
    <w:p>
      <w:pPr>
        <w:bidi/>
      </w:pPr>
      <w:r>
        <w:rPr>
          <w:rtl/>
        </w:rPr>
        <w:t xml:space="preserve">434</w:t>
      </w:r>
    </w:p>
    <w:p>
      <w:pPr>
        <w:bidi/>
      </w:pPr>
      <w:hyperlink r:id="rId21">
        <w:r>
          <w:rPr>
            <w:rStyle w:val="Hyperlink"/>
            <w:rtl/>
          </w:rPr>
          <w:t xml:space="preserve">https://scholarworks.uaeu.ac.ae/sharia_and_law/vol2022/iss91/7</w:t>
        </w:r>
      </w:hyperlink>
      <w:r>
        <w:rPr>
          <w:rtl/>
        </w:rPr>
        <w:t xml:space="preserve"> </w:t>
      </w:r>
      <w:r>
        <w:rPr>
          <w:rtl/>
        </w:rPr>
        <w:t xml:space="preserve">28</w:t>
      </w:r>
    </w:p>
    <w:p>
      <w:r>
        <w:pict>
          <v:rect style="width:0;height:1.5pt" o:hralign="center" o:hrstd="t" o:hr="t"/>
        </w:pict>
      </w:r>
    </w:p>
    <w:p>
      <w:pPr>
        <w:bidi/>
      </w:pPr>
      <w:r>
        <w:rPr>
          <w:rtl/>
        </w:rPr>
        <w:t xml:space="preserve">Ali: ??? ????? ?? ??????? ????????? ????? ??????? ?????? ?????? ???????? ???????? ???????</w:t>
      </w:r>
    </w:p>
    <w:bookmarkStart w:id="68" w:name="د.يونس-صلاح-الدين-علي-3"/>
    <w:p>
      <w:pPr>
        <w:pStyle w:val="Heading2"/>
        <w:bidi/>
      </w:pPr>
      <w:r>
        <w:rPr>
          <w:rtl/>
        </w:rPr>
        <w:t xml:space="preserve">[د.يونس صلاح الدين علي]</w:t>
      </w:r>
    </w:p>
    <w:bookmarkEnd w:id="68"/>
    <w:p>
      <w:pPr>
        <w:bidi/>
      </w:pPr>
      <w:r>
        <w:rPr>
          <w:rtl/>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pPr>
        <w:numPr>
          <w:ilvl w:val="0"/>
          <w:numId w:val="1007"/>
        </w:numPr>
        <w:pStyle w:val="Compact"/>
        <w:bidi/>
      </w:pPr>
      <w:r>
        <w:rPr>
          <w:rtl/>
        </w:rPr>
        <w:t xml:space="preserve">Michael Bridge. Personal Property Law. Fourth Edition. Oxford University Press. 2015. P.297.</w:t>
      </w:r>
    </w:p>
    <w:p>
      <w:pPr>
        <w:numPr>
          <w:ilvl w:val="0"/>
          <w:numId w:val="1007"/>
        </w:numPr>
        <w:pStyle w:val="Compact"/>
        <w:bidi/>
      </w:pPr>
      <w:r>
        <w:rPr>
          <w:rtl/>
        </w:rPr>
        <w:t xml:space="preserve">Martin Dixon. Principles of Land Law. Fourth Edition. Cavendish Publishing Limited. London. 2002. P.381.</w:t>
      </w:r>
    </w:p>
    <w:p>
      <w:pPr>
        <w:numPr>
          <w:ilvl w:val="0"/>
          <w:numId w:val="1007"/>
        </w:numPr>
        <w:pStyle w:val="Compact"/>
        <w:bidi/>
      </w:pPr>
      <w:r>
        <w:rPr>
          <w:rtl/>
        </w:rPr>
        <w:t xml:space="preserve">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numPr>
          <w:ilvl w:val="0"/>
          <w:numId w:val="1007"/>
        </w:numPr>
        <w:pStyle w:val="Compact"/>
        <w:bidi/>
      </w:pPr>
      <w:r>
        <w:rPr>
          <w:rtl/>
        </w:rPr>
        <w:t xml:space="preserve">Edmund H. Bennett &amp; Chauncey Smith, EsQrs. English Report in Law and Equity.</w:t>
      </w:r>
    </w:p>
    <w:p>
      <w:pPr>
        <w:bidi/>
      </w:pPr>
      <w:r>
        <w:rPr>
          <w:rtl/>
        </w:rPr>
        <w:t xml:space="preserve">435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29</w:t>
      </w:r>
    </w:p>
    <w:p>
      <w:r>
        <w:pict>
          <v:rect style="width:0;height:1.5pt" o:hralign="center" o:hrstd="t" o:hr="t"/>
        </w:pict>
      </w:r>
    </w:p>
    <w:p>
      <w:pPr>
        <w:bidi/>
      </w:pPr>
      <w:r>
        <w:rPr>
          <w:rtl/>
        </w:rPr>
        <w:t xml:space="preserve">Journal Sharia and Law, Vol. 2022, No. 91 [2022], Art. 7</w:t>
      </w:r>
    </w:p>
    <w:bookmarkEnd w:id="69"/>
    <w:bookmarkEnd w:id="70"/>
    <w:bookmarkStart w:id="71" w:name="X00bcc16f5ebde01e71e0f0eef688509445939ad"/>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w:t>
      </w:r>
      <w:r>
        <w:rPr>
          <w:rtl/>
        </w:rPr>
        <w:t xml:space="preserve"> </w:t>
      </w:r>
      <w:r>
        <w:t xml:space="preserve">(Reversionary Interest)</w:t>
      </w:r>
      <w:r>
        <w:rPr>
          <w:rtl/>
        </w:rPr>
        <w:t xml:space="preserve"> </w:t>
      </w:r>
      <w:r>
        <w:rPr>
          <w:rtl/>
        </w:rPr>
        <w:t xml:space="preserve">لدى الدائن المرتهن، وعند</w:t>
      </w:r>
      <w:r>
        <w:rPr>
          <w:rtl/>
        </w:rPr>
        <w:t xml:space="preserve"> </w:t>
      </w:r>
      <w:r>
        <w:rPr>
          <w:rtl/>
        </w:rPr>
        <w:t xml:space="preserve">تخلف المدين الراهن عن الوفاء بالدين المضمون بالرهن، أقام المدعون وهم الممثلون الشخصيون</w:t>
      </w:r>
      <w:r>
        <w:rPr>
          <w:rtl/>
        </w:rPr>
        <w:t xml:space="preserve"> </w:t>
      </w:r>
      <w:r>
        <w:t xml:space="preserve">(Personal Representatives)</w:t>
      </w:r>
      <w:r>
        <w:rPr>
          <w:rtl/>
        </w:rPr>
        <w:t xml:space="preserve"> </w:t>
      </w:r>
      <w:r>
        <w:rPr>
          <w:rtl/>
        </w:rPr>
        <w:t xml:space="preserve">للدائن المرتهن في الدعوى، وطلبوا من المحكمة إصدار أمر يلزم</w:t>
      </w:r>
      <w:r>
        <w:rPr>
          <w:rtl/>
        </w:rPr>
        <w:t xml:space="preserve"> </w:t>
      </w:r>
      <w:r>
        <w:rPr>
          <w:rtl/>
        </w:rPr>
        <w:t xml:space="preserve">المدين الراهن بالوفاء بالدين المضمون بالرهن</w:t>
      </w:r>
      <w:r>
        <w:rPr>
          <w:rtl/>
        </w:rPr>
        <w:t xml:space="preserve"> </w:t>
      </w:r>
      <w:r>
        <w:t xml:space="preserve">(Payment of the Mortgage Debt)</w:t>
      </w:r>
      <w:r>
        <w:rPr>
          <w:rtl/>
        </w:rPr>
        <w:t xml:space="preserve"> </w:t>
      </w:r>
      <w:r>
        <w:rPr>
          <w:rtl/>
        </w:rPr>
        <w:t xml:space="preserve">أو بمواجهة</w:t>
      </w:r>
      <w:r>
        <w:rPr>
          <w:rtl/>
        </w:rPr>
        <w:t xml:space="preserve"> </w:t>
      </w:r>
      <w:r>
        <w:rPr>
          <w:rtl/>
        </w:rPr>
        <w:t xml:space="preserve">غلق الرهن</w:t>
      </w:r>
      <w:r>
        <w:rPr>
          <w:rtl/>
        </w:rPr>
        <w:t xml:space="preserve"> </w:t>
      </w:r>
      <w:r>
        <w:t xml:space="preserve">(Foreclosure)</w:t>
      </w:r>
      <w:r>
        <w:rPr>
          <w:rtl/>
        </w:rPr>
        <w:t xml:space="preserve">. فأصدرت المحكمة حكماً يقضي بإصدار أمر بالوفاء بالدين أو ببيع</w:t>
      </w:r>
      <w:r>
        <w:rPr>
          <w:rtl/>
        </w:rPr>
        <w:t xml:space="preserve"> </w:t>
      </w:r>
      <w:r>
        <w:rPr>
          <w:rtl/>
        </w:rPr>
        <w:t xml:space="preserve">المال المرهون بالتفضيل على غلق الرهن، وجاء في حكم المحكمة بأن الوفاء بالدين أو بيع المال</w:t>
      </w:r>
      <w:r>
        <w:rPr>
          <w:rtl/>
        </w:rPr>
        <w:t xml:space="preserve"> </w:t>
      </w:r>
      <w:r>
        <w:rPr>
          <w:rtl/>
        </w:rPr>
        <w:t xml:space="preserve">المرهون هما الأسلوب الملائم، ولا سيما إذا كان المال المرهون هو الفوائد المؤجلة المفروضة على</w:t>
      </w:r>
      <w:r>
        <w:rPr>
          <w:rtl/>
        </w:rPr>
        <w:t xml:space="preserve"> </w:t>
      </w:r>
      <w:r>
        <w:rPr>
          <w:rtl/>
        </w:rPr>
        <w:t xml:space="preserve">الأسهم</w:t>
      </w:r>
      <w:r>
        <w:rPr>
          <w:rtl/>
        </w:rPr>
        <w:t xml:space="preserve"> </w:t>
      </w:r>
      <w:r>
        <w:t xml:space="preserve">(Reversionary Interest in Stock)</w:t>
      </w:r>
      <w:r>
        <w:rPr>
          <w:rtl/>
        </w:rPr>
        <w:t xml:space="preserve">. فاستأنف المدعون الحكم وطلبوا إصدار أمر يقضي</w:t>
      </w:r>
      <w:r>
        <w:rPr>
          <w:rtl/>
        </w:rPr>
        <w:t xml:space="preserve"> </w:t>
      </w:r>
      <w:r>
        <w:rPr>
          <w:rtl/>
        </w:rPr>
        <w:t xml:space="preserve">بغلق الرهن</w:t>
      </w:r>
      <w:r>
        <w:rPr>
          <w:rtl/>
        </w:rPr>
        <w:t xml:space="preserve"> </w:t>
      </w:r>
      <w:r>
        <w:t xml:space="preserve">(Decree of Foreclosure)</w:t>
      </w:r>
      <w:r>
        <w:rPr>
          <w:rtl/>
        </w:rPr>
        <w:t xml:space="preserve">، واستندوا إلى السابقة القضائية</w:t>
      </w:r>
      <w:r>
        <w:rPr>
          <w:rtl/>
        </w:rPr>
        <w:t xml:space="preserve"> </w:t>
      </w:r>
      <w:r>
        <w:t xml:space="preserve">(Slade v. Rigg)</w:t>
      </w:r>
      <w:r>
        <w:rPr>
          <w:rtl/>
        </w:rPr>
        <w:t xml:space="preserve"> </w:t>
      </w:r>
      <w:r>
        <w:rPr>
          <w:rtl/>
        </w:rPr>
        <w:t xml:space="preserve">3</w:t>
      </w:r>
      <w:r>
        <w:rPr>
          <w:rtl/>
        </w:rPr>
        <w:t xml:space="preserve"> </w:t>
      </w:r>
      <w:r>
        <w:rPr>
          <w:rtl/>
        </w:rPr>
        <w:t xml:space="preserve">,</w:t>
      </w:r>
      <w:r>
        <w:t xml:space="preserve">Hare 35</w:t>
      </w:r>
      <w:r>
        <w:rPr>
          <w:rtl/>
        </w:rPr>
        <w:t xml:space="preserve">. فأصرت المحكمة في حكمها على أن الأسلوب الأمثل هو إما الوفاء بالدين أو ببيع</w:t>
      </w:r>
      <w:r>
        <w:rPr>
          <w:rtl/>
        </w:rPr>
        <w:t xml:space="preserve"> </w:t>
      </w:r>
      <w:r>
        <w:rPr>
          <w:rtl/>
        </w:rPr>
        <w:t xml:space="preserve">المال المرهون، ولم تؤيد إصدار أمر يقضي بغلق الرهن، لأن الرهن كان ينصب على الفوائد المؤجلة</w:t>
      </w:r>
      <w:r>
        <w:rPr>
          <w:rtl/>
        </w:rPr>
        <w:t xml:space="preserve"> </w:t>
      </w:r>
      <w:r>
        <w:rPr>
          <w:rtl/>
        </w:rPr>
        <w:t xml:space="preserve">المفروضة على الأسهم</w:t>
      </w:r>
      <w:r>
        <w:rPr>
          <w:rtl/>
        </w:rPr>
        <w:t xml:space="preserve"> </w:t>
      </w:r>
      <w:r>
        <w:t xml:space="preserve">(Mortgage of Reversionary Interest in Stock)</w:t>
      </w:r>
      <w:r>
        <w:rPr>
          <w:rtl/>
        </w:rPr>
        <w:t xml:space="preserve">. إلا أن المسألة المهمة</w:t>
      </w:r>
      <w:r>
        <w:rPr>
          <w:rtl/>
        </w:rPr>
        <w:t xml:space="preserve"> </w:t>
      </w:r>
      <w:r>
        <w:rPr>
          <w:rtl/>
        </w:rPr>
        <w:t xml:space="preserve">التي ذكرتها المحكمة في حكمها، هي وجود اختلاف جوهري بين رهن الفوائد المؤجلة المفروضة</w:t>
      </w:r>
      <w:r>
        <w:rPr>
          <w:rtl/>
        </w:rPr>
        <w:t xml:space="preserve"> </w:t>
      </w:r>
      <w:r>
        <w:rPr>
          <w:rtl/>
        </w:rPr>
        <w:t xml:space="preserve">على الأسهم وبين الرهن العقاري</w:t>
      </w:r>
      <w:r>
        <w:rPr>
          <w:rtl/>
        </w:rPr>
        <w:t xml:space="preserve"> </w:t>
      </w:r>
      <w:r>
        <w:t xml:space="preserve">(Mortgage of Real Estate)</w:t>
      </w:r>
      <w:r>
        <w:rPr>
          <w:rtl/>
        </w:rPr>
        <w:t xml:space="preserve">. وجاء في حكمها بأنه في القضايا</w:t>
      </w:r>
      <w:r>
        <w:rPr>
          <w:rtl/>
        </w:rPr>
        <w:t xml:space="preserve"> </w:t>
      </w:r>
      <w:r>
        <w:rPr>
          <w:rtl/>
        </w:rPr>
        <w:t xml:space="preserve">المتعلقة بالرهن العقاري فإن المعالجة الأمثل المتاحة للدائن المرتهن هي غلق الرهن، لا بل أنها</w:t>
      </w:r>
      <w:r>
        <w:rPr>
          <w:rtl/>
        </w:rPr>
        <w:t xml:space="preserve"> </w:t>
      </w:r>
      <w:r>
        <w:rPr>
          <w:rtl/>
        </w:rPr>
        <w:t xml:space="preserve">تكاد تكون المعالجة الوحيدة، بسبب عدم قدرة المحاكم على القيام مباشرة ببيع العقار، في الوقت</w:t>
      </w:r>
      <w:r>
        <w:rPr>
          <w:rtl/>
        </w:rPr>
        <w:t xml:space="preserve"> </w:t>
      </w:r>
      <w:r>
        <w:rPr>
          <w:rtl/>
        </w:rPr>
        <w:t xml:space="preserve">الذي يمكن فيه للمحكمة أن تقوم بالبيع المباشر للمنقولات أو الأسهم المرهونة</w:t>
      </w:r>
      <w:r>
        <w:rPr>
          <w:rtl/>
        </w:rPr>
        <w:t xml:space="preserve"> </w:t>
      </w:r>
      <w:r>
        <w:t xml:space="preserve">(Mortgage of</w:t>
      </w:r>
      <w:r>
        <w:t xml:space="preserve"> </w:t>
      </w:r>
      <w:r>
        <w:t xml:space="preserve">Stock and Chattels)</w:t>
      </w:r>
      <w:r>
        <w:rPr>
          <w:rtl/>
        </w:rPr>
        <w:t xml:space="preserve">. إلا أنه جرت العادة لدى المحاكم الإنجليزية على عدم إصدار الأمر بغلق</w:t>
      </w:r>
      <w:r>
        <w:rPr>
          <w:rtl/>
        </w:rPr>
        <w:t xml:space="preserve"> </w:t>
      </w:r>
      <w:r>
        <w:rPr>
          <w:rtl/>
        </w:rPr>
        <w:t xml:space="preserve">الرهن، قبل الطلب من الدائن المرتهن توجيه إخطار للمدين الراهن. ويمكن للدائن المرتهن أن</w:t>
      </w:r>
      <w:r>
        <w:rPr>
          <w:rtl/>
        </w:rPr>
        <w:t xml:space="preserve"> </w:t>
      </w:r>
      <w:r>
        <w:rPr>
          <w:rtl/>
        </w:rPr>
        <w:t xml:space="preserve">يتوقف عن متابعة إجراءات دعوى غلق الرهن، إذا ما بدأ المدين الراهن بالوفاء بالدين المضمون</w:t>
      </w:r>
    </w:p>
    <w:p>
      <w:pPr>
        <w:bidi/>
      </w:pPr>
      <w:r>
        <w:rPr>
          <w:rtl/>
        </w:rPr>
        <w:t xml:space="preserve">Containing reports of Cases in the House of lords, Privy Council, Courts of Equity and</w:t>
      </w:r>
      <w:r>
        <w:rPr>
          <w:rtl/>
        </w:rPr>
        <w:t xml:space="preserve"> </w:t>
      </w:r>
      <w:r>
        <w:rPr>
          <w:rtl/>
        </w:rPr>
        <w:t xml:space="preserve">Common Law. And in the Admiralty and Ecclesiastical Courts, Included Also Cases in</w:t>
      </w:r>
      <w:r>
        <w:rPr>
          <w:rtl/>
        </w:rPr>
        <w:t xml:space="preserve"> </w:t>
      </w:r>
      <w:r>
        <w:rPr>
          <w:rtl/>
        </w:rPr>
        <w:t xml:space="preserve">Bankruptcy and Crown cases Reserved. Volume 3, CHARLES C, LITTLE AND JAMES</w:t>
      </w:r>
      <w:r>
        <w:rPr>
          <w:rtl/>
        </w:rPr>
        <w:t xml:space="preserve"> </w:t>
      </w:r>
      <w:r>
        <w:rPr>
          <w:rtl/>
        </w:rPr>
        <w:t xml:space="preserve">BROWN. 1851. P.147.</w:t>
      </w:r>
    </w:p>
    <w:p>
      <w:r>
        <w:pict>
          <v:rect style="width:0;height:1.5pt" o:hralign="center" o:hrstd="t" o:hr="t"/>
        </w:pict>
      </w:r>
    </w:p>
    <w:p>
      <w:pPr>
        <w:bidi/>
      </w:pPr>
      <w:r>
        <w:rPr>
          <w:rtl/>
        </w:rPr>
        <w:t xml:space="preserve">436</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30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بالرهن خلال فترة محددة</w:t>
      </w:r>
      <w:r>
        <w:rPr>
          <w:rtl/>
        </w:rPr>
        <w:t xml:space="preserve"> </w:t>
      </w:r>
      <w:r>
        <w:t xml:space="preserve">(Specified Time)</w:t>
      </w:r>
      <w:r>
        <w:rPr>
          <w:rtl/>
        </w:rPr>
        <w:t xml:space="preserve">. وإذا لم يبدأ المدين الراهن بالوفاء ضمن تلك الفترة، فإنه يمكن للدائن المرتهن أن يحصل على أمر تمهيدي يسبق غلق الرهن</w:t>
      </w:r>
      <w:r>
        <w:rPr>
          <w:rtl/>
        </w:rPr>
        <w:t xml:space="preserve"> </w:t>
      </w:r>
      <w:r>
        <w:t xml:space="preserve">(Foreclosure Nisi)</w:t>
      </w:r>
      <w:r>
        <w:rPr>
          <w:rtl/>
        </w:rPr>
        <w:t xml:space="preserve"> </w:t>
      </w:r>
      <w:r>
        <w:rPr>
          <w:rtl/>
        </w:rPr>
        <w:t xml:space="preserve">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w:t>
      </w:r>
      <w:r>
        <w:rPr>
          <w:rtl/>
        </w:rPr>
        <w:t xml:space="preserve"> </w:t>
      </w:r>
      <w:r>
        <w:t xml:space="preserve">(Order of Foreclosure)</w:t>
      </w:r>
      <w:r>
        <w:rPr>
          <w:rtl/>
        </w:rPr>
        <w:t xml:space="preserve"> </w:t>
      </w:r>
      <w:r>
        <w:rPr>
          <w:rtl/>
        </w:rPr>
        <w:t xml:space="preserve">باتاً</w:t>
      </w:r>
      <w:r>
        <w:t xml:space="preserve">(۸۰)</w:t>
      </w:r>
      <w:r>
        <w:rPr>
          <w:rtl/>
        </w:rPr>
        <w:t xml:space="preserve"> </w:t>
      </w:r>
      <w:r>
        <w:rPr>
          <w:rtl/>
        </w:rPr>
        <w:t xml:space="preserve">، انقضى حقه في المال المرهون، بعد أن يطلب الدائن المرتهن من المحكمة إنهاء الحق الإنصافي في فك الرهن</w:t>
      </w:r>
      <w:r>
        <w:rPr>
          <w:rtl/>
        </w:rPr>
        <w:t xml:space="preserve"> </w:t>
      </w:r>
      <w:r>
        <w:t xml:space="preserve">(Equitable Right to Redeem)</w:t>
      </w:r>
      <w:r>
        <w:rPr>
          <w:rtl/>
        </w:rPr>
        <w:t xml:space="preserve"> </w:t>
      </w:r>
      <w:r>
        <w:rPr>
          <w:rtl/>
        </w:rPr>
        <w:t xml:space="preserve">نهائياً</w:t>
      </w:r>
      <w:r>
        <w:t xml:space="preserve">(۸۱)</w:t>
      </w:r>
      <w:r>
        <w:rPr>
          <w:rtl/>
        </w:rPr>
        <w:t xml:space="preserve">، لكي يتلافى تعرضه للخسارة</w:t>
      </w:r>
      <w:r>
        <w:t xml:space="preserve">(۸۲)</w:t>
      </w:r>
      <w:r>
        <w:rPr>
          <w:rtl/>
        </w:rPr>
        <w:t xml:space="preserve">.</w:t>
      </w:r>
    </w:p>
    <w:p>
      <w:pPr>
        <w:bidi/>
      </w:pPr>
      <w:r>
        <w:rPr>
          <w:rtl/>
        </w:rPr>
        <w:t xml:space="preserve">وهذا يعني بأن إجراء غلق الرهن يمر بمرحلتين في القانون الإنجليزي: الأولى إصدار قرار أو أمر تمهيدي</w:t>
      </w:r>
      <w:r>
        <w:rPr>
          <w:rtl/>
        </w:rPr>
        <w:t xml:space="preserve"> </w:t>
      </w:r>
      <w:r>
        <w:t xml:space="preserve">(Decree Nisi)</w:t>
      </w:r>
      <w:r>
        <w:rPr>
          <w:rtl/>
        </w:rPr>
        <w:t xml:space="preserve"> </w:t>
      </w:r>
      <w:r>
        <w:rPr>
          <w:rtl/>
        </w:rPr>
        <w:t xml:space="preserve">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w:t>
      </w:r>
      <w:r>
        <w:rPr>
          <w:rtl/>
        </w:rPr>
        <w:t xml:space="preserve"> </w:t>
      </w:r>
      <w:r>
        <w:t xml:space="preserve">(Decree Absolute)(۸۳)</w:t>
      </w:r>
      <w:r>
        <w:rPr>
          <w:rtl/>
        </w:rPr>
        <w:t xml:space="preserve">،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w:t>
      </w:r>
      <w:r>
        <w:rPr>
          <w:rtl/>
        </w:rPr>
        <w:t xml:space="preserve"> </w:t>
      </w:r>
      <w:r>
        <w:t xml:space="preserve">First National Securities v Hegerty) (850 QB.1985</w:t>
      </w:r>
      <w:r>
        <w:rPr>
          <w:rtl/>
        </w:rPr>
        <w:t xml:space="preserve"> </w:t>
      </w:r>
      <w:r>
        <w:rPr>
          <w:rtl/>
        </w:rPr>
        <w:t xml:space="preserve">التي تتلخص وقائعها</w:t>
      </w:r>
      <w:r>
        <w:rPr>
          <w:rtl/>
        </w:rPr>
        <w:t xml:space="preserve"> </w:t>
      </w:r>
      <w:r>
        <w:t xml:space="preserve">(٨٤)</w:t>
      </w:r>
      <w:r>
        <w:rPr>
          <w:rtl/>
        </w:rPr>
        <w:t xml:space="preserve"> </w:t>
      </w:r>
      <w:r>
        <w:rPr>
          <w:rtl/>
        </w:rPr>
        <w:t xml:space="preserve">في امتلاك الزوجين لمنزل الزوجية</w:t>
      </w:r>
      <w:r>
        <w:rPr>
          <w:rtl/>
        </w:rPr>
        <w:t xml:space="preserve"> </w:t>
      </w:r>
      <w:r>
        <w:t xml:space="preserve">Matrimonial) (Home</w:t>
      </w:r>
      <w:r>
        <w:rPr>
          <w:rtl/>
        </w:rPr>
        <w:t xml:space="preserve"> </w:t>
      </w:r>
      <w:r>
        <w:rPr>
          <w:rtl/>
        </w:rPr>
        <w:t xml:space="preserve">على الشيوع، وقد حصلا على قرض في مقابل رهن المنزل لشركة</w:t>
      </w:r>
      <w:r>
        <w:rPr>
          <w:rtl/>
        </w:rPr>
        <w:t xml:space="preserve"> </w:t>
      </w:r>
      <w:r>
        <w:t xml:space="preserve">First National) (Securities</w:t>
      </w:r>
      <w:r>
        <w:rPr>
          <w:rtl/>
        </w:rPr>
        <w:t xml:space="preserve">. إلا أن الزوج زور توقيع زوجته وقبض كل مبلغ القرض الذي منح لهما معاً</w:t>
      </w:r>
    </w:p>
    <w:p>
      <w:pPr>
        <w:numPr>
          <w:ilvl w:val="0"/>
          <w:numId w:val="1008"/>
        </w:numPr>
        <w:pStyle w:val="Compact"/>
      </w:pPr>
      <w:r>
        <w:t xml:space="preserve">(80) Martin Dixon. Modern Land Law. seventh Edition. Routledge Taylor &amp; Francis Group. London and New York. 2010 P.422.</w:t>
      </w:r>
    </w:p>
    <w:p>
      <w:pPr>
        <w:numPr>
          <w:ilvl w:val="0"/>
          <w:numId w:val="1008"/>
        </w:numPr>
        <w:pStyle w:val="Compact"/>
      </w:pPr>
      <w:r>
        <w:t xml:space="preserve">(81) Rojer J. Smith. Property Law: Cases and Materials. Fifth Edition. Pearson Education Limited. Essex England. 2012. P.765.</w:t>
      </w:r>
    </w:p>
    <w:p>
      <w:pPr>
        <w:numPr>
          <w:ilvl w:val="0"/>
          <w:numId w:val="1008"/>
        </w:numPr>
        <w:pStyle w:val="Compact"/>
      </w:pPr>
      <w:r>
        <w:t xml:space="preserve">(82) Lynn T. Slossberg. The Essentials of Real Estate Law. Third Edition. CENGAGE Learning. 2015. P.597.</w:t>
      </w:r>
    </w:p>
    <w:p>
      <w:pPr>
        <w:numPr>
          <w:ilvl w:val="0"/>
          <w:numId w:val="1008"/>
        </w:numPr>
        <w:pStyle w:val="Compact"/>
      </w:pPr>
      <w:r>
        <w:t xml:space="preserve">(83) Douglas Wood. op. Cit. P.137.</w:t>
      </w:r>
    </w:p>
    <w:p>
      <w:pPr>
        <w:bidi/>
      </w:pPr>
      <w:r>
        <w:rPr>
          <w:rtl/>
        </w:rPr>
        <w:t xml:space="preserve">(٨٤) لمزيد من التفصيل حول القضية ينظر الموقع الإلكتروني:</w:t>
      </w:r>
      <w:r>
        <w:br/>
      </w:r>
      <w:r>
        <w:t xml:space="preserve">https://swarb.co.uk/first-national-securities-v-hegerty-ca-1984/</w:t>
      </w:r>
    </w:p>
    <w:p>
      <w:r>
        <w:pict>
          <v:rect style="width:0;height:1.5pt" o:hralign="center" o:hrstd="t" o:hr="t"/>
        </w:pict>
      </w:r>
    </w:p>
    <w:p>
      <w:pPr>
        <w:bidi/>
      </w:pPr>
      <w:r>
        <w:t xml:space="preserve">437</w:t>
      </w:r>
      <w:r>
        <w:rPr>
          <w:rtl/>
        </w:rPr>
        <w:t xml:space="preserve"> </w:t>
      </w: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31</w:t>
      </w:r>
    </w:p>
    <w:p>
      <w:r>
        <w:pict>
          <v:rect style="width:0;height:1.5pt" o:hralign="center" o:hrstd="t" o:hr="t"/>
        </w:pict>
      </w:r>
    </w:p>
    <w:p>
      <w:pPr>
        <w:bidi/>
      </w:pPr>
      <w:r>
        <w:rPr>
          <w:rtl/>
        </w:rPr>
        <w:t xml:space="preserve">Journal Sharia and Law, Vol. 2022, No. 91 [2022], Art. 7</w:t>
      </w:r>
    </w:p>
    <w:bookmarkEnd w:id="71"/>
    <w:bookmarkStart w:id="80" w:name="X9cb608e5477a83cc7fc965080b4aba2b64dccb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w:t>
      </w:r>
    </w:p>
    <w:p>
      <w:pPr>
        <w:bidi/>
      </w:pPr>
      <w:r>
        <w:rPr>
          <w:rtl/>
        </w:rPr>
        <w:t xml:space="preserve">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w:t>
      </w:r>
    </w:p>
    <w:p>
      <w:pPr>
        <w:bidi/>
      </w:pPr>
      <w:r>
        <w:rPr>
          <w:rtl/>
        </w:rPr>
        <w:t xml:space="preserve">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numPr>
          <w:ilvl w:val="0"/>
          <w:numId w:val="1009"/>
        </w:numPr>
        <w:pStyle w:val="Compact"/>
        <w:bidi/>
      </w:pPr>
      <w:r>
        <w:rPr>
          <w:rtl/>
        </w:rPr>
        <w:t xml:space="preserve">Chris Davies. op. Cit. P.112.</w:t>
      </w:r>
    </w:p>
    <w:p>
      <w:pPr>
        <w:numPr>
          <w:ilvl w:val="0"/>
          <w:numId w:val="1009"/>
        </w:numPr>
        <w:pStyle w:val="Compact"/>
        <w:bidi/>
      </w:pPr>
      <w:r>
        <w:rPr>
          <w:rtl/>
        </w:rPr>
        <w:t xml:space="preserve">Diane Chappelle. op. Cit. P.364.</w:t>
      </w:r>
    </w:p>
    <w:p>
      <w:pPr>
        <w:numPr>
          <w:ilvl w:val="0"/>
          <w:numId w:val="1009"/>
        </w:numPr>
        <w:pStyle w:val="Compact"/>
        <w:bidi/>
      </w:pPr>
      <w:r>
        <w:rPr>
          <w:rtl/>
        </w:rPr>
        <w:t xml:space="preserve">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rPr>
        <w:t xml:space="preserve">438 السنة السادسة والثلاثون - مجلة جامعة الإمارات ]</w:t>
      </w:r>
    </w:p>
    <w:p>
      <w:pPr>
        <w:bidi/>
      </w:pPr>
      <w:r>
        <w:rPr>
          <w:rtl/>
        </w:rPr>
        <w:t xml:space="preserve">https://scholarworks.uaeu.ac.ae/sharia_and_law/vol2022/iss91/7</w:t>
      </w:r>
    </w:p>
    <w:p>
      <w:pPr>
        <w:bidi/>
      </w:pPr>
      <w:r>
        <w:rPr>
          <w:rtl/>
        </w:rPr>
        <w:t xml:space="preserve">32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تعمده عدم الوفاء بها. كالتهرب من دفع الضرائب المترتبة على العقار المرهون، أو عدم التأمين</w:t>
      </w:r>
      <w:r>
        <w:rPr>
          <w:rtl/>
        </w:rPr>
        <w:t xml:space="preserve"> </w:t>
      </w:r>
      <w:r>
        <w:rPr>
          <w:rtl/>
        </w:rPr>
        <w:t xml:space="preserve">على العقار، أو عدم إصلاحه وصيانته والمحافظة عليه في حالة جيدة (</w:t>
      </w:r>
      <w:r>
        <w:t xml:space="preserve">Failure to Keep the</w:t>
      </w:r>
      <w:r>
        <w:t xml:space="preserve"> </w:t>
      </w:r>
      <w:r>
        <w:t xml:space="preserve">Property in Good Repair</w:t>
      </w:r>
      <w:r>
        <w:rPr>
          <w:rtl/>
        </w:rPr>
        <w:t xml:space="preserve">). أو تعمده بيع العقار المرهون من دون إذن أو موافقة من الدائن</w:t>
      </w:r>
      <w:r>
        <w:rPr>
          <w:rtl/>
        </w:rPr>
        <w:t xml:space="preserve"> </w:t>
      </w:r>
      <w:r>
        <w:rPr>
          <w:rtl/>
        </w:rPr>
        <w:t xml:space="preserve">المرتهن. فالإخلال بأي التزام من هذه الالتزامات الجوهرية الناشئة عن عقد الرهن (</w:t>
      </w:r>
      <w:r>
        <w:t xml:space="preserve">Breach of</w:t>
      </w:r>
      <w:r>
        <w:t xml:space="preserve"> </w:t>
      </w:r>
      <w:r>
        <w:t xml:space="preserve">any Mortgage Covenant</w:t>
      </w:r>
      <w:r>
        <w:rPr>
          <w:rtl/>
        </w:rPr>
        <w:t xml:space="preserve">)، والمترتبة على عاتق المدين الراهن يعطي الحق للدائن المرتهن في</w:t>
      </w:r>
      <w:r>
        <w:rPr>
          <w:rtl/>
        </w:rPr>
        <w:t xml:space="preserve"> </w:t>
      </w:r>
      <w:r>
        <w:rPr>
          <w:rtl/>
        </w:rPr>
        <w:t xml:space="preserve">طلب غلق الرهن كجزاء ومعالجة لذلك الإخلال (۸۸). ويتشابه موقف القانون الإنجليزي من</w:t>
      </w:r>
      <w:r>
        <w:rPr>
          <w:rtl/>
        </w:rPr>
        <w:t xml:space="preserve"> </w:t>
      </w:r>
      <w:r>
        <w:rPr>
          <w:rtl/>
        </w:rPr>
        <w:t xml:space="preserve">هذه الناحية مع موقف الفقرة الثانية من المادة (١٠٥٢) من القانون المدني المصري، وكذلك</w:t>
      </w:r>
      <w:r>
        <w:rPr>
          <w:rtl/>
        </w:rPr>
        <w:t xml:space="preserve"> </w:t>
      </w:r>
      <w:r>
        <w:rPr>
          <w:rtl/>
        </w:rPr>
        <w:t xml:space="preserve">الفقرة الثانية من المادة (١٧٦) من قانون المعاملات التجارية الاتحادي الإماراتي رقم (١٨) لسنة</w:t>
      </w:r>
      <w:r>
        <w:rPr>
          <w:rtl/>
        </w:rPr>
        <w:t xml:space="preserve"> </w:t>
      </w:r>
      <w:r>
        <w:rPr>
          <w:rtl/>
        </w:rPr>
        <w:t xml:space="preserve">۱۹۹۳، والمادتين (۲۷) و (۲۸) من قانون رهن الأموال المنقولة الاتحادي الإماراتي رقم (٢٠)</w:t>
      </w:r>
      <w:r>
        <w:rPr>
          <w:rtl/>
        </w:rPr>
        <w:t xml:space="preserve"> </w:t>
      </w:r>
      <w:r>
        <w:rPr>
          <w:rtl/>
        </w:rPr>
        <w:t xml:space="preserve">لسنة ٢٠١٦ التي أجازت غلق الرهن.</w:t>
      </w:r>
    </w:p>
    <w:bookmarkStart w:id="73" w:name="الفرع-الثاني-1"/>
    <w:p>
      <w:pPr>
        <w:pStyle w:val="Heading2"/>
        <w:bidi/>
      </w:pPr>
      <w:r>
        <w:rPr>
          <w:rtl/>
        </w:rPr>
        <w:t xml:space="preserve">الفرع الثاني</w:t>
      </w:r>
    </w:p>
    <w:bookmarkStart w:id="72"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w:t>
      </w:r>
      <w:r>
        <w:rPr>
          <w:rtl/>
        </w:rPr>
        <w:t xml:space="preserve"> </w:t>
      </w:r>
      <w:r>
        <w:rPr>
          <w:rtl/>
        </w:rPr>
        <w:t xml:space="preserve">فإن ذلك سوف تترتب عليه آثار قانونية بالنسبة إلى الدائنين المرتهنين الآخرين الذين أقرضوا</w:t>
      </w:r>
      <w:r>
        <w:rPr>
          <w:rtl/>
        </w:rPr>
        <w:t xml:space="preserve"> </w:t>
      </w:r>
      <w:r>
        <w:rPr>
          <w:rtl/>
        </w:rPr>
        <w:t xml:space="preserve">المدين الراهن. إلا أنه ينبغي أن نفرق بين حالتين: الأولى هي أن تكون حقوق الدائنين المرتهنين</w:t>
      </w:r>
      <w:r>
        <w:rPr>
          <w:rtl/>
        </w:rPr>
        <w:t xml:space="preserve"> </w:t>
      </w:r>
      <w:r>
        <w:rPr>
          <w:rtl/>
        </w:rPr>
        <w:t xml:space="preserve">بمقتضى رهون ناشئة قبل الرهن الذي صدر بشأنه أمر الغلق. والثانية أن تكون حقوق الدائنين</w:t>
      </w:r>
      <w:r>
        <w:rPr>
          <w:rtl/>
        </w:rPr>
        <w:t xml:space="preserve"> </w:t>
      </w:r>
      <w:r>
        <w:rPr>
          <w:rtl/>
        </w:rPr>
        <w:t xml:space="preserve">المرتهنين بمقتضى رهون ناشئة بعد الرهن الذي صدر بشأنه أمر الغلق (۸۹). فإذا كانت حقوق</w:t>
      </w:r>
      <w:r>
        <w:rPr>
          <w:rtl/>
        </w:rPr>
        <w:t xml:space="preserve"> </w:t>
      </w:r>
      <w:r>
        <w:rPr>
          <w:rtl/>
        </w:rPr>
        <w:t xml:space="preserve">الدائنين المرتهنين تقررت بمقتضى رهون نشأت قبل الرهن الذي صدر بشأنه أمر الغلق، ففي</w:t>
      </w:r>
      <w:r>
        <w:rPr>
          <w:rtl/>
        </w:rPr>
        <w:t xml:space="preserve"> </w:t>
      </w:r>
      <w:r>
        <w:rPr>
          <w:rtl/>
        </w:rPr>
        <w:t xml:space="preserve">هذه الحالة لا تتأثر تلك الحقوق بغلق الرهن. وتنتقل ملكية العقار المرهون إلى الدائن المرتهن</w:t>
      </w:r>
      <w:r>
        <w:rPr>
          <w:rtl/>
        </w:rPr>
        <w:t xml:space="preserve"> </w:t>
      </w:r>
      <w:r>
        <w:rPr>
          <w:rtl/>
        </w:rPr>
        <w:t xml:space="preserve">أو أي شخص آخر بعده مثقلة بتلك الحقوق. أما إذا كانت حقوق الدائنين المرتهنين تقررت</w:t>
      </w:r>
    </w:p>
    <w:p>
      <w:pPr>
        <w:bidi/>
      </w:pPr>
      <w:r>
        <w:rPr>
          <w:rtl/>
        </w:rPr>
        <w:t xml:space="preserve">(88) Daniel F. Hinkel. op. Cit. P.288.</w:t>
      </w:r>
    </w:p>
    <w:p>
      <w:pPr>
        <w:bidi/>
      </w:pPr>
      <w:r>
        <w:rPr>
          <w:rtl/>
        </w:rPr>
        <w:t xml:space="preserve">(89) Martin Dixon. Modern Land Law. Seventh Edition. Routledge Taylor &amp; Francis Group. London and New York. 2010. P.422.</w:t>
      </w:r>
    </w:p>
    <w:p>
      <w:pPr>
        <w:bidi/>
      </w:pPr>
      <w:r>
        <w:rPr>
          <w:rtl/>
        </w:rPr>
        <w:t xml:space="preserve">439</w:t>
      </w:r>
      <w:r>
        <w:rPr>
          <w:rtl/>
        </w:rPr>
        <w:t xml:space="preserve"> </w:t>
      </w: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33</w:t>
      </w:r>
    </w:p>
    <w:p>
      <w:r>
        <w:pict>
          <v:rect style="width:0;height:1.5pt" o:hralign="center" o:hrstd="t" o:hr="t"/>
        </w:pict>
      </w:r>
    </w:p>
    <w:p>
      <w:pPr>
        <w:bidi/>
      </w:pPr>
      <w:r>
        <w:rPr>
          <w:rtl/>
        </w:rPr>
        <w:t xml:space="preserve">Journal Sharia and Law, Vol. 2022, No. 91 [2022], Art. 7</w:t>
      </w:r>
    </w:p>
    <w:bookmarkEnd w:id="72"/>
    <w:bookmarkEnd w:id="73"/>
    <w:bookmarkStart w:id="76" w:name="Xf4d5c5aff1677f38e3aafee58c50a79eb90d9a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w:t>
      </w:r>
      <w:r>
        <w:rPr>
          <w:rtl/>
        </w:rPr>
        <w:t xml:space="preserve"> </w:t>
      </w:r>
      <w:r>
        <w:t xml:space="preserve">(Subsequent)</w:t>
      </w:r>
      <w:r>
        <w:rPr>
          <w:rtl/>
        </w:rPr>
        <w:t xml:space="preserve"> </w:t>
      </w:r>
      <w:r>
        <w:t xml:space="preserve">.(۹۰)Mortgagees)</w:t>
      </w:r>
    </w:p>
    <w:bookmarkStart w:id="74" w:name="الفرع-الثالث"/>
    <w:p>
      <w:pPr>
        <w:pStyle w:val="Heading3"/>
        <w:bidi/>
      </w:pPr>
      <w:r>
        <w:rPr>
          <w:rtl/>
        </w:rPr>
        <w:t xml:space="preserve">الفرع الثالث</w:t>
      </w:r>
    </w:p>
    <w:bookmarkEnd w:id="74"/>
    <w:bookmarkStart w:id="75" w:name="X3e5376c1dca988141d6b708314e61ed5af7887d"/>
    <w:p>
      <w:pPr>
        <w:pStyle w:val="Heading3"/>
        <w:bidi/>
      </w:pPr>
      <w:r>
        <w:rPr>
          <w:rtl/>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w:t>
      </w:r>
      <w:r>
        <w:rPr>
          <w:rtl/>
        </w:rPr>
        <w:t xml:space="preserve"> </w:t>
      </w:r>
      <w:r>
        <w:t xml:space="preserve">(۹۱)</w:t>
      </w:r>
      <w:r>
        <w:rPr>
          <w:rtl/>
        </w:rPr>
        <w:t xml:space="preserve"> </w:t>
      </w:r>
      <w:r>
        <w:rPr>
          <w:rtl/>
        </w:rPr>
        <w:t xml:space="preserve">تشريع قانون الملكية لعام</w:t>
      </w:r>
      <w:r>
        <w:rPr>
          <w:rtl/>
        </w:rPr>
        <w:t xml:space="preserve"> </w:t>
      </w:r>
      <w:r>
        <w:t xml:space="preserve">١٩٢٥ (1925 The Law of Property Act)</w:t>
      </w:r>
      <w:r>
        <w:rPr>
          <w:rtl/>
        </w:rPr>
        <w:t xml:space="preserve"> </w:t>
      </w:r>
      <w:r>
        <w:rPr>
          <w:rtl/>
        </w:rPr>
        <w:t xml:space="preserve">في بيع العقار المرهون بدلاً عن إغلاق الرهن، إذ نصت هذه الفقرة على أنه</w:t>
      </w:r>
      <w:r>
        <w:rPr>
          <w:rtl/>
        </w:rPr>
        <w:t xml:space="preserve"> </w:t>
      </w:r>
      <w:r>
        <w:t xml:space="preserve">(</w:t>
      </w:r>
      <w:r>
        <w:rPr>
          <w:rtl/>
        </w:rPr>
        <w:t xml:space="preserve"> </w:t>
      </w:r>
      <w:r>
        <w:rPr>
          <w:rtl/>
        </w:rPr>
        <w:t xml:space="preserve">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w:t>
      </w:r>
      <w:r>
        <w:rPr>
          <w:rtl/>
        </w:rPr>
        <w:t xml:space="preserve"> </w:t>
      </w:r>
      <w:r>
        <w:t xml:space="preserve">(أ)</w:t>
      </w:r>
      <w:r>
        <w:rPr>
          <w:rtl/>
        </w:rPr>
        <w:t xml:space="preserve"> </w:t>
      </w:r>
      <w:r>
        <w:rPr>
          <w:rtl/>
        </w:rPr>
        <w:t xml:space="preserve">أي شخص يقوم بالاعتراض، أو</w:t>
      </w:r>
      <w:r>
        <w:rPr>
          <w:rtl/>
        </w:rPr>
        <w:t xml:space="preserve"> </w:t>
      </w:r>
      <w:r>
        <w:t xml:space="preserve">(ب)</w:t>
      </w:r>
      <w:r>
        <w:rPr>
          <w:rtl/>
        </w:rPr>
        <w:t xml:space="preserve"> </w:t>
      </w:r>
      <w:r>
        <w:rPr>
          <w:rtl/>
        </w:rPr>
        <w:t xml:space="preserve">الدائن المرتهن أو أي شخص له مصلحة. ومن دون السماح بأي وقت لفك الرهن أو للوفاء بالمبلغ</w:t>
      </w:r>
      <w:r>
        <w:t xml:space="preserve">) (۹۱)</w:t>
      </w:r>
      <w:r>
        <w:rPr>
          <w:rtl/>
        </w:rPr>
        <w:t xml:space="preserve">. ويرى جانب من الفقه</w:t>
      </w:r>
    </w:p>
    <w:p>
      <w:pPr>
        <w:pStyle w:val="BodyText"/>
      </w:pPr>
      <w:r>
        <w:t xml:space="preserve">(90) Douglas Wood. op. Cit. P.137.</w:t>
      </w:r>
    </w:p>
    <w:p>
      <w:pPr>
        <w:pStyle w:val="BodyText"/>
      </w:pPr>
      <w: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rPr>
        <w:t xml:space="preserve">[السنة السادسة والثلاثون - مجلة جامعة الإمارات ]</w:t>
      </w:r>
    </w:p>
    <w:p>
      <w:pPr>
        <w:bidi/>
      </w:pPr>
      <w:r>
        <w:rPr>
          <w:rtl/>
        </w:rPr>
        <w:t xml:space="preserve">[IMAGE_PLACEHOLDER:footer_article_number_440:Article number 440 in a black box]</w:t>
      </w:r>
    </w:p>
    <w:p>
      <w:pPr>
        <w:pStyle w:val="BodyText"/>
      </w:pPr>
      <w:hyperlink r:id="rId21">
        <w:r>
          <w:rPr>
            <w:rStyle w:val="Hyperlink"/>
          </w:rPr>
          <w:t xml:space="preserve">https://scholarworks.uaeu.ac.ae/sharia_and_law/vol2022/iss91/7</w:t>
        </w:r>
      </w:hyperlink>
    </w:p>
    <w:p>
      <w:pPr>
        <w:pStyle w:val="BodyText"/>
      </w:pPr>
      <w:r>
        <w:t xml:space="preserve">34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w:t>
      </w:r>
      <w:r>
        <w:rPr>
          <w:rtl/>
        </w:rPr>
        <w:t xml:space="preserve"> </w:t>
      </w:r>
      <w:r>
        <w:rPr>
          <w:rtl/>
        </w:rPr>
        <w:t xml:space="preserve">في الحكم ببيع العقار المرهون بدلاً عن غلق الرهن، هو الطبيعة القاسية أو الصارمة التي يتسم</w:t>
      </w:r>
      <w:r>
        <w:rPr>
          <w:rtl/>
        </w:rPr>
        <w:t xml:space="preserve"> </w:t>
      </w:r>
      <w:r>
        <w:rPr>
          <w:rtl/>
        </w:rPr>
        <w:t xml:space="preserve">بها غلق الرهن. وإذا ما قررت المحكمة بيع العقار المرهون، فإن عائدات ذلك البيع توزع وفقاً</w:t>
      </w:r>
      <w:r>
        <w:rPr>
          <w:rtl/>
        </w:rPr>
        <w:t xml:space="preserve"> </w:t>
      </w:r>
      <w:r>
        <w:rPr>
          <w:rtl/>
        </w:rPr>
        <w:t xml:space="preserve">للمادة (١٠٥) من تشريع قانون الملكية لعام ۱۹۲٥ . وهذا يعني أنه إذا كانت قيمة المال المرهون</w:t>
      </w:r>
      <w:r>
        <w:rPr>
          <w:rtl/>
        </w:rPr>
        <w:t xml:space="preserve"> </w:t>
      </w:r>
      <w:r>
        <w:rPr>
          <w:rtl/>
        </w:rPr>
        <w:t xml:space="preserve">أكبر من قيمة الدين المضمون بالرهن، فإن المبلغ الإضافي أو الزائد يؤول إلى المدين الراهن (۹۳) .</w:t>
      </w:r>
      <w:r>
        <w:rPr>
          <w:rtl/>
        </w:rPr>
        <w:t xml:space="preserve"> </w:t>
      </w:r>
      <w:r>
        <w:rPr>
          <w:rtl/>
        </w:rPr>
        <w:t xml:space="preserve">وغالباً ما يفضل المدين الراهن مثل هذا النوع من الحلول، ولا سيما إذا كانت قيمة الدين الموثق</w:t>
      </w:r>
      <w:r>
        <w:rPr>
          <w:rtl/>
        </w:rPr>
        <w:t xml:space="preserve"> </w:t>
      </w:r>
      <w:r>
        <w:rPr>
          <w:rtl/>
        </w:rPr>
        <w:t xml:space="preserve">بالرهن (Mortgage Debt) أقل بكثير من قيمة المال المرهون فالدائن المرتهن يكون أمامه</w:t>
      </w:r>
      <w:r>
        <w:rPr>
          <w:rtl/>
        </w:rPr>
        <w:t xml:space="preserve"> </w:t>
      </w:r>
      <w:r>
        <w:rPr>
          <w:rtl/>
        </w:rPr>
        <w:t xml:space="preserve">طريقان الأول هو تملك العقار المرهون، إذا كانت قيمته بنفس قيمة الدين المضمون. والثاني</w:t>
      </w:r>
      <w:r>
        <w:rPr>
          <w:rtl/>
        </w:rPr>
        <w:t xml:space="preserve"> </w:t>
      </w:r>
      <w:r>
        <w:rPr>
          <w:rtl/>
        </w:rPr>
        <w:t xml:space="preserve">هو بيع العقار المرهون، إذا كانت قيمته أكثر من قيمة الدين المضمون. فيحصل الدائن المرتهن</w:t>
      </w:r>
      <w:r>
        <w:rPr>
          <w:rtl/>
        </w:rPr>
        <w:t xml:space="preserve"> </w:t>
      </w:r>
      <w:r>
        <w:rPr>
          <w:rtl/>
        </w:rPr>
        <w:t xml:space="preserve">على قيمة الدين والفوائد والنفقات، ويرجع ما تبقى من ثمن البيع للمدين الراهن. وقد قضت</w:t>
      </w:r>
      <w:r>
        <w:rPr>
          <w:rtl/>
        </w:rPr>
        <w:t xml:space="preserve"> </w:t>
      </w:r>
      <w:r>
        <w:rPr>
          <w:rtl/>
        </w:rPr>
        <w:t xml:space="preserve">المحكمة الإنجليزية ببيع العقار المرهون في العديد من أحكامها، ومن بينها الحكم الصادر في</w:t>
      </w:r>
      <w:r>
        <w:rPr>
          <w:rtl/>
        </w:rPr>
        <w:t xml:space="preserve"> </w:t>
      </w:r>
      <w:r>
        <w:rPr>
          <w:rtl/>
        </w:rPr>
        <w:t xml:space="preserve">قضية (330 Ch 1993 Plc Funding Services Mortgage v Palk) التي تتلخص وقائعها (٩٤ )</w:t>
      </w:r>
      <w:r>
        <w:rPr>
          <w:rtl/>
        </w:rPr>
        <w:t xml:space="preserve"> </w:t>
      </w:r>
      <w:r>
        <w:rPr>
          <w:rtl/>
        </w:rPr>
        <w:t xml:space="preserve">في اقتراض الزوجين المدعيين لمبلغ قدره ثلاثمائة ألف جنيه، والمضمون برهن على منزلهما الذي</w:t>
      </w:r>
      <w:r>
        <w:rPr>
          <w:rtl/>
        </w:rPr>
        <w:t xml:space="preserve"> </w:t>
      </w:r>
      <w:r>
        <w:rPr>
          <w:rtl/>
        </w:rPr>
        <w:t xml:space="preserve">يملكانه على سبيل الشيوع. ثم تعرضت شركة الزوج للإفلاس. فقرر الزوجان بيع المنزل،</w:t>
      </w:r>
      <w:r>
        <w:rPr>
          <w:rtl/>
        </w:rPr>
        <w:t xml:space="preserve"> </w:t>
      </w:r>
      <w:r>
        <w:rPr>
          <w:rtl/>
        </w:rPr>
        <w:t xml:space="preserve">ودخلا في مفاوضات مع المشتري لبيعه بمبلغ قدر ( ۲۸۳۰۰۰ ) ألف جنيه. ثم تخصيص مبلغ</w:t>
      </w:r>
      <w:r>
        <w:rPr>
          <w:rtl/>
        </w:rPr>
        <w:t xml:space="preserve"> </w:t>
      </w:r>
      <w:r>
        <w:rPr>
          <w:rtl/>
        </w:rPr>
        <w:t xml:space="preserve">قدره (٣٥٨٥٨٧) لفك الرهن. إلا أن الدائن المرتهن رفض الموافقة على بيع العقار، بعد أن</w:t>
      </w:r>
      <w:r>
        <w:rPr>
          <w:rtl/>
        </w:rPr>
        <w:t xml:space="preserve"> </w:t>
      </w:r>
      <w:r>
        <w:rPr>
          <w:rtl/>
        </w:rPr>
        <w:t xml:space="preserve">إستحصل على أمر من المحكمة لحيازة العقار. وكان يرغب في الإبقاء على المنزل لمدة من الزمن</w:t>
      </w:r>
      <w:r>
        <w:rPr>
          <w:rtl/>
        </w:rPr>
        <w:t xml:space="preserve"> </w:t>
      </w:r>
      <w:r>
        <w:rPr>
          <w:rtl/>
        </w:rPr>
        <w:t xml:space="preserve">على أمل حدوث ارتفاع كبير في أسعار سوق العقارات، ولا سيما العقارات السكنية. فأقام</w:t>
      </w:r>
      <w:r>
        <w:rPr>
          <w:rtl/>
        </w:rPr>
        <w:t xml:space="preserve"> </w:t>
      </w:r>
      <w:r>
        <w:rPr>
          <w:rtl/>
        </w:rPr>
        <w:t xml:space="preserve">الزوجان المدعيان الدعوى، وطلبا من المحكمة إصدار أمر يسمح لهما ببيع العقار، إلا أن</w:t>
      </w:r>
      <w:r>
        <w:rPr>
          <w:rtl/>
        </w:rPr>
        <w:t xml:space="preserve"> </w:t>
      </w:r>
      <w:r>
        <w:rPr>
          <w:rtl/>
        </w:rPr>
        <w:t xml:space="preserve">المحكمة رفضت الطلب. فاستأنفا الحكم الابتدائي أمام محكمة الاستئناف، وكان التساؤل</w: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p>
    <w:p>
      <w:pPr>
        <w:bidi/>
      </w:pPr>
      <w:r>
        <w:rPr>
          <w:rtl/>
        </w:rPr>
        <w:t xml:space="preserve">https://www.lawteacher.net/cases/palk-v-mortgage-services.php</w:t>
      </w:r>
    </w:p>
    <w:p>
      <w:pPr>
        <w:bidi/>
      </w:pPr>
      <w:r>
        <w:t xml:space="preserve">441</w:t>
      </w:r>
      <w:r>
        <w:rPr>
          <w:rtl/>
        </w:rPr>
        <w:t xml:space="preserve"> </w:t>
      </w:r>
      <w:r>
        <w:rPr>
          <w:rtl/>
        </w:rPr>
        <w:t xml:space="preserve">العدد الواحد والتسعون - ذو الحجة 1443 هـ يوليو 2022]</w:t>
      </w:r>
    </w:p>
    <w:p>
      <w:pPr>
        <w:bidi/>
      </w:pPr>
      <w:r>
        <w:t xml:space="preserve">Published by Scholarworks@UAEU, 2022</w:t>
      </w:r>
      <w:r>
        <w:rPr>
          <w:rtl/>
        </w:rPr>
        <w:t xml:space="preserve"> </w:t>
      </w:r>
      <w:r>
        <w:t xml:space="preserve">35</w:t>
      </w:r>
    </w:p>
    <w:p>
      <w:r>
        <w:pict>
          <v:rect style="width:0;height:1.5pt" o:hralign="center" o:hrstd="t" o:hr="t"/>
        </w:pict>
      </w:r>
    </w:p>
    <w:p>
      <w:pPr>
        <w:bidi/>
      </w:pPr>
      <w:r>
        <w:rPr>
          <w:rtl/>
        </w:rPr>
        <w:t xml:space="preserve">Journal Sharia and Law, Vol. 2022, No. 91 [2022], Art. 7</w:t>
      </w:r>
    </w:p>
    <w:bookmarkEnd w:id="75"/>
    <w:bookmarkEnd w:id="76"/>
    <w:bookmarkStart w:id="77" w:name="X44b87eb1cf9e0dc701e770d7fe76195be30b250"/>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 (</w:t>
      </w:r>
      <w:r>
        <w:t xml:space="preserve">Discretion</w:t>
      </w:r>
      <w:r>
        <w:rPr>
          <w:rtl/>
        </w:rPr>
        <w:t xml:space="preserve">) التي تتمتع بها</w:t>
      </w:r>
      <w:r>
        <w:rPr>
          <w:rtl/>
        </w:rPr>
        <w:t xml:space="preserve"> </w:t>
      </w:r>
      <w:r>
        <w:rPr>
          <w:rtl/>
        </w:rPr>
        <w:t xml:space="preserve">المحكمة بمقتضى الفقرة الثانية من المادة (</w:t>
      </w:r>
      <w:r>
        <w:t xml:space="preserve">٩١</w:t>
      </w:r>
      <w:r>
        <w:rPr>
          <w:rtl/>
        </w:rPr>
        <w:t xml:space="preserve">) من تشريع قانون الملكية لعام</w:t>
      </w:r>
      <w:r>
        <w:rPr>
          <w:rtl/>
        </w:rPr>
        <w:t xml:space="preserve"> </w:t>
      </w:r>
      <w:r>
        <w:t xml:space="preserve">١٩٢٥</w:t>
      </w:r>
      <w:r>
        <w:rPr>
          <w:rtl/>
        </w:rPr>
        <w:t xml:space="preserve"> </w:t>
      </w:r>
      <w:r>
        <w:rPr>
          <w:rtl/>
        </w:rPr>
        <w:t xml:space="preserve">(</w:t>
      </w:r>
      <w:r>
        <w:t xml:space="preserve">The law</w:t>
      </w:r>
      <w:r>
        <w:t xml:space="preserve"> </w:t>
      </w:r>
      <w:r>
        <w:t xml:space="preserve">of property Act 1925</w:t>
      </w:r>
      <w:r>
        <w:rPr>
          <w:rtl/>
        </w:rPr>
        <w:t xml:space="preserve">) تسمح لها بإصدار أمر ببيع العقار، إذا لم يكن من المتوقع أن يؤدي فك</w:t>
      </w:r>
      <w:r>
        <w:rPr>
          <w:rtl/>
        </w:rPr>
        <w:t xml:space="preserve"> </w:t>
      </w:r>
      <w:r>
        <w:rPr>
          <w:rtl/>
        </w:rPr>
        <w:t xml:space="preserve">الرهن (</w:t>
      </w:r>
      <w:r>
        <w:t xml:space="preserve">Redemption</w:t>
      </w:r>
      <w:r>
        <w:rPr>
          <w:rtl/>
        </w:rPr>
        <w:t xml:space="preserve">) إلى الوفاء بكامل قيمة الدين المضمون. فقضت محكمة الاستئناف</w:t>
      </w:r>
      <w:r>
        <w:rPr>
          <w:rtl/>
        </w:rPr>
        <w:t xml:space="preserve"> </w:t>
      </w:r>
      <w:r>
        <w:rPr>
          <w:rtl/>
        </w:rPr>
        <w:t xml:space="preserve">لمصلحة الزوجين المستأنفين، وجاء في حكمها أن بإمكان المحكمة ممارسة سلطتها التقديرية</w:t>
      </w:r>
      <w:r>
        <w:rPr>
          <w:rtl/>
        </w:rPr>
        <w:t xml:space="preserve"> </w:t>
      </w:r>
      <w:r>
        <w:rPr>
          <w:rtl/>
        </w:rPr>
        <w:t xml:space="preserve">لبيع العقار المرهون. وأن ممارسة هذه السلطة بمقتضى الفقرة الثانية من المادة (</w:t>
      </w:r>
      <w:r>
        <w:t xml:space="preserve">٩١</w:t>
      </w:r>
      <w:r>
        <w:rPr>
          <w:rtl/>
        </w:rPr>
        <w:t xml:space="preserve">) من تشريع</w:t>
      </w:r>
      <w:r>
        <w:rPr>
          <w:rtl/>
        </w:rPr>
        <w:t xml:space="preserve"> </w:t>
      </w:r>
      <w:r>
        <w:rPr>
          <w:rtl/>
        </w:rPr>
        <w:t xml:space="preserve">قانون الملكية لعام</w:t>
      </w:r>
      <w:r>
        <w:rPr>
          <w:rtl/>
        </w:rPr>
        <w:t xml:space="preserve"> </w:t>
      </w:r>
      <w:r>
        <w:t xml:space="preserve">١٩٢٥</w:t>
      </w:r>
      <w:r>
        <w:rPr>
          <w:rtl/>
        </w:rPr>
        <w:t xml:space="preserve"> </w:t>
      </w:r>
      <w:r>
        <w:rPr>
          <w:rtl/>
        </w:rPr>
        <w:t xml:space="preserve">لا تتوقف على أي شرط مسبق. وأن عدم إخلال الدائن المرتهن بأي</w:t>
      </w:r>
      <w:r>
        <w:rPr>
          <w:rtl/>
        </w:rPr>
        <w:t xml:space="preserve"> </w:t>
      </w:r>
      <w:r>
        <w:rPr>
          <w:rtl/>
        </w:rPr>
        <w:t xml:space="preserve">التزام من التزاماته المدين بها تجاه المدين الراهن، يعد أحد الظروف الملابسة التي ينبغي على</w:t>
      </w:r>
      <w:r>
        <w:rPr>
          <w:rtl/>
        </w:rPr>
        <w:t xml:space="preserve"> </w:t>
      </w:r>
      <w:r>
        <w:rPr>
          <w:rtl/>
        </w:rPr>
        <w:t xml:space="preserve">المحكمة أخذها بنظر الاعتبار. وذكرت في حكمها أيضاً أن من العادل والمنصف والمعقول</w:t>
      </w:r>
      <w:r>
        <w:rPr>
          <w:rtl/>
        </w:rPr>
        <w:t xml:space="preserve"> </w:t>
      </w:r>
      <w:r>
        <w:rPr>
          <w:rtl/>
        </w:rPr>
        <w:t xml:space="preserve">إصدار الأمر ببيع العقار المرهون، لأن السير في خلاف ذلك يؤدي إلى الظلم وعدم العدالة.</w:t>
      </w:r>
      <w:r>
        <w:rPr>
          <w:rtl/>
        </w:rPr>
        <w:t xml:space="preserve"> </w:t>
      </w:r>
      <w:r>
        <w:rPr>
          <w:rtl/>
        </w:rPr>
        <w:t xml:space="preserve">وذهبت المحكمة الإنجليزية في حكمها الصادر في قضية (</w:t>
      </w:r>
      <w:r>
        <w:t xml:space="preserve">Arab Bank plc v Mercantile</w:t>
      </w:r>
      <w:r>
        <w:t xml:space="preserve"> </w:t>
      </w:r>
      <w:r>
        <w:t xml:space="preserve">Holdings Ltd 1994. 2 All ER 74</w:t>
      </w:r>
      <w:r>
        <w:rPr>
          <w:rtl/>
        </w:rPr>
        <w:t xml:space="preserve">) بأن بإمكان المحكمة أن تصدر أمراً ببيع العقار المرهون،</w:t>
      </w:r>
      <w:r>
        <w:rPr>
          <w:rtl/>
        </w:rPr>
        <w:t xml:space="preserve"> </w:t>
      </w:r>
      <w:r>
        <w:rPr>
          <w:rtl/>
        </w:rPr>
        <w:t xml:space="preserve">حتى وإن كان حق الدائن المرتهن ثابتاً في ممارسة غلق الرهن (</w:t>
      </w:r>
      <w:r>
        <w:t xml:space="preserve">٩٥</w:t>
      </w:r>
      <w:r>
        <w:rPr>
          <w:rtl/>
        </w:rPr>
        <w:t xml:space="preserve">). كما ذهبت المحكمة في حكمها</w:t>
      </w:r>
      <w:r>
        <w:rPr>
          <w:rtl/>
        </w:rPr>
        <w:t xml:space="preserve"> </w:t>
      </w:r>
      <w:r>
        <w:rPr>
          <w:rtl/>
        </w:rPr>
        <w:t xml:space="preserve">الصادر في قضية (</w:t>
      </w:r>
      <w:r>
        <w:t xml:space="preserve">Twentieth Century Banking Corporation Ltd v Wilkinson. ChD</w:t>
      </w:r>
      <w:r>
        <w:t xml:space="preserve"> </w:t>
      </w:r>
      <w:r>
        <w:t xml:space="preserve">1977</w:t>
      </w:r>
      <w:r>
        <w:rPr>
          <w:rtl/>
        </w:rPr>
        <w:t xml:space="preserve">) إلى نفس الاتجاه، وقضت بإصدار الأمر ببيع العقار المرهون بدلاً عن إصدار الأمر بغلق</w:t>
      </w:r>
      <w:r>
        <w:rPr>
          <w:rtl/>
        </w:rPr>
        <w:t xml:space="preserve"> </w:t>
      </w:r>
      <w:r>
        <w:rPr>
          <w:rtl/>
        </w:rPr>
        <w:t xml:space="preserve">الرهن، على الرغم من ثبات حق الدائن المرتهن في ممارسة غلق الرهن. وتتلخص وقائع هذه</w:t>
      </w:r>
      <w:r>
        <w:rPr>
          <w:rtl/>
        </w:rPr>
        <w:t xml:space="preserve"> </w:t>
      </w:r>
      <w:r>
        <w:rPr>
          <w:rtl/>
        </w:rPr>
        <w:t xml:space="preserve">القضية (</w:t>
      </w:r>
      <w:r>
        <w:t xml:space="preserve">٩٦</w:t>
      </w:r>
      <w:r>
        <w:rPr>
          <w:rtl/>
        </w:rPr>
        <w:t xml:space="preserve">) في رهن العقار عام</w:t>
      </w:r>
      <w:r>
        <w:rPr>
          <w:rtl/>
        </w:rPr>
        <w:t xml:space="preserve"> </w:t>
      </w:r>
      <w:r>
        <w:t xml:space="preserve">۱۹۷۳</w:t>
      </w:r>
      <w:r>
        <w:rPr>
          <w:rtl/>
        </w:rPr>
        <w:t xml:space="preserve"> </w:t>
      </w:r>
      <w:r>
        <w:rPr>
          <w:rtl/>
        </w:rPr>
        <w:t xml:space="preserve">، والاتفاق في عقد الرهن على الوفاء بالدين المضمون</w:t>
      </w:r>
      <w:r>
        <w:rPr>
          <w:rtl/>
        </w:rPr>
        <w:t xml:space="preserve"> </w:t>
      </w:r>
      <w:r>
        <w:rPr>
          <w:rtl/>
        </w:rPr>
        <w:t xml:space="preserve">بالرهن عام</w:t>
      </w:r>
      <w:r>
        <w:rPr>
          <w:rtl/>
        </w:rPr>
        <w:t xml:space="preserve"> </w:t>
      </w:r>
      <w:r>
        <w:t xml:space="preserve">۱۹۸۸</w:t>
      </w:r>
      <w:r>
        <w:rPr>
          <w:rtl/>
        </w:rPr>
        <w:t xml:space="preserve"> </w:t>
      </w:r>
      <w:r>
        <w:rPr>
          <w:rtl/>
        </w:rPr>
        <w:t xml:space="preserve">. إلا أن عقد الرهن لم يتضمن أي بند يقضي ببيع العقار المرهون، في حالة</w:t>
      </w:r>
      <w:r>
        <w:rPr>
          <w:rtl/>
        </w:rPr>
        <w:t xml:space="preserve"> </w:t>
      </w:r>
      <w:r>
        <w:rPr>
          <w:rtl/>
        </w:rPr>
        <w:t xml:space="preserve">تخلف المدين الراهن عن الوفاء. وبالفعل فقد تخلف المدين الراهن عن الوفاء عند حلول موعد</w:t>
      </w:r>
      <w:r>
        <w:rPr>
          <w:rtl/>
        </w:rPr>
        <w:t xml:space="preserve"> </w:t>
      </w:r>
      <w:r>
        <w:rPr>
          <w:rtl/>
        </w:rPr>
        <w:t xml:space="preserve">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w:t>
      </w:r>
      <w:r>
        <w:t xml:space="preserve">٩٦</w:t>
      </w:r>
      <w:r>
        <w:rPr>
          <w:rtl/>
        </w:rPr>
        <w:t xml:space="preserve">) لمزيد من التفصيل حول القضية ينظر الموقع الإلكتروني:</w:t>
      </w:r>
      <w:r>
        <w:rPr>
          <w:rtl/>
        </w:rPr>
        <w:t xml:space="preserve"> </w:t>
      </w:r>
      <w:r>
        <w:t xml:space="preserve">https://swarb.co.uk/twentieth-century-banking-corporation-ltd-v-wilkinson-chd-1977</w:t>
      </w:r>
    </w:p>
    <w:p>
      <w:r>
        <w:pict>
          <v:rect style="width:0;height:1.5pt" o:hralign="center" o:hrstd="t" o:hr="t"/>
        </w:pict>
      </w:r>
    </w:p>
    <w:p>
      <w:pPr>
        <w:bidi/>
      </w:pPr>
      <w:r>
        <w:rPr>
          <w:rtl/>
        </w:rPr>
        <w:t xml:space="preserve">السنة السادسة والثلاثون - مجلة جامعة الإمارات ]</w:t>
      </w:r>
      <w:r>
        <w:rPr>
          <w:rtl/>
        </w:rPr>
        <w:t xml:space="preserve"> </w:t>
      </w:r>
      <w:r>
        <w:t xml:space="preserve">442</w:t>
      </w:r>
    </w:p>
    <w:p>
      <w:pPr>
        <w:bidi/>
      </w:pPr>
      <w:r>
        <w:t xml:space="preserve">https://scholarworks.uaeu.ac.ae/sharia_and_law/vol2022/iss91/7</w:t>
      </w:r>
      <w:r>
        <w:rPr>
          <w:rtl/>
        </w:rPr>
        <w:t xml:space="preserve"> </w:t>
      </w:r>
      <w:r>
        <w:t xml:space="preserve">36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المرهون بدلاً عن غلق الرهن، بموجب الفقرة الثانية من المادة (۹۱) من تشريع قانون الملكية لعام ١٩٢٥ (1925 The law of property Act).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End w:id="77"/>
    <w:bookmarkStart w:id="79" w:name="الفرع-الرابع"/>
    <w:p>
      <w:pPr>
        <w:pStyle w:val="Heading2"/>
        <w:bidi/>
      </w:pPr>
      <w:r>
        <w:rPr>
          <w:rtl/>
        </w:rPr>
        <w:t xml:space="preserve">الفرع الرابع</w:t>
      </w:r>
    </w:p>
    <w:bookmarkStart w:id="78"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w:t>
      </w:r>
      <w:r>
        <w:rPr>
          <w:rtl/>
        </w:rPr>
        <w:t xml:space="preserve"> </w:t>
      </w:r>
      <w:r>
        <w:rPr>
          <w:rtl/>
          <w:vertAlign w:val="superscript"/>
        </w:rPr>
        <w:t xml:space="preserve">۹۷</w:t>
      </w:r>
      <w:r>
        <w:rPr>
          <w:rtl/>
        </w:rP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w:t>
      </w:r>
      <w:r>
        <w:rPr>
          <w:rtl/>
        </w:rPr>
        <w:t xml:space="preserve"> </w:t>
      </w:r>
      <w:r>
        <w:rPr>
          <w:rtl/>
          <w:vertAlign w:val="superscript"/>
        </w:rPr>
        <w:t xml:space="preserve">۹۸</w:t>
      </w:r>
      <w:r>
        <w:rPr>
          <w:rtl/>
        </w:rPr>
        <w:t xml:space="preserve"> </w:t>
      </w:r>
      <w:r>
        <w:rPr>
          <w:rtl/>
        </w:rPr>
        <w:t xml:space="preserve">في فك الرهن. ومن بين تلك الحالات إقامة</w:t>
      </w:r>
    </w:p>
    <w:p>
      <w:pPr>
        <w:bidi/>
      </w:pPr>
      <w:r>
        <w:rPr>
          <w:rtl/>
        </w:rPr>
        <w:t xml:space="preserve">(97) Richard Card. John Murdoch, Sandi Murdoch. Real Estate Management Law. Seventh Edition. Oxford University Press.2011. P.535.</w:t>
      </w:r>
    </w:p>
    <w:p>
      <w:pPr>
        <w:bidi/>
      </w:pPr>
      <w:r>
        <w:rPr>
          <w:rtl/>
        </w:rPr>
        <w:t xml:space="preserve">(۹۸) يعد الحق الإنصافي (Equitable Right) من الحقوق المستمدة من مبادىء العدالة والإنصاف، وغالباً ما تقضي =</w:t>
      </w:r>
    </w:p>
    <w:p>
      <w:r>
        <w:pict>
          <v:rect style="width:0;height:1.5pt" o:hralign="center" o:hrstd="t" o:hr="t"/>
        </w:pict>
      </w:r>
    </w:p>
    <w:p>
      <w:pPr>
        <w:bidi/>
      </w:pPr>
      <w:r>
        <w:rPr>
          <w:rtl/>
        </w:rPr>
        <w:t xml:space="preserve">443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37</w:t>
      </w:r>
    </w:p>
    <w:p>
      <w:r>
        <w:pict>
          <v:rect style="width:0;height:1.5pt" o:hralign="center" o:hrstd="t" o:hr="t"/>
        </w:pict>
      </w:r>
    </w:p>
    <w:p>
      <w:pPr>
        <w:pStyle w:val="FirstParagraph"/>
      </w:pPr>
      <w:r>
        <w:t xml:space="preserve">Journal Sharia and Law, Vol. 2022, No. 91 [2022], Art. 7</w:t>
      </w:r>
    </w:p>
    <w:bookmarkEnd w:id="78"/>
    <w:bookmarkEnd w:id="79"/>
    <w:bookmarkEnd w:id="80"/>
    <w:bookmarkStart w:id="100" w:name="X156803a123da25bb3daca572f031f5929f26f3a"/>
    <w:p>
      <w:pPr>
        <w:pStyle w:val="Heading1"/>
        <w:bidi/>
      </w:pPr>
      <w:r>
        <w:rPr>
          <w:rtl/>
        </w:rPr>
        <w:t xml:space="preserve">غلق الرهن في القانون الإنجليزي دراسة تحليلية مقارنة بالفقة الإسلامي والقانون المقارن]</w:t>
      </w:r>
    </w:p>
    <w:bookmarkStart w:id="82" w:name="غلق-الرهن-في-القانون-الإنجليزي"/>
    <w:p>
      <w:pPr>
        <w:pStyle w:val="Heading2"/>
        <w:bidi/>
      </w:pPr>
      <w:r>
        <w:rPr>
          <w:rtl/>
        </w:rPr>
        <w:t xml:space="preserve">غلق الرهن في القانون الإنجليزي</w:t>
      </w:r>
    </w:p>
    <w:bookmarkStart w:id="81" w:name="Xa29d843ff82da92d213fb231d6d9003890f4793"/>
    <w:p>
      <w:pPr>
        <w:pStyle w:val="Heading3"/>
        <w:bidi/>
      </w:pPr>
      <w:r>
        <w:rPr>
          <w:rtl/>
        </w:rPr>
        <w:t xml:space="preserve">دراسة تحليلية مقارنة بالفقه الإسلامي والقانون المقارن.</w:t>
      </w:r>
    </w:p>
    <w:p>
      <w:pPr>
        <w:bidi/>
      </w:pPr>
      <w:r>
        <w:rPr>
          <w:rtl/>
        </w:rPr>
        <w:t xml:space="preserve">د. یونس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End w:id="81"/>
    <w:bookmarkEnd w:id="82"/>
    <w:bookmarkStart w:id="83" w:name="ملخص-البحث"/>
    <w:p>
      <w:pPr>
        <w:pStyle w:val="Heading2"/>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w:t>
      </w:r>
      <w:r>
        <w:rPr>
          <w:rtl/>
        </w:rPr>
        <w:t xml:space="preserve"> </w:t>
      </w:r>
      <w:r>
        <w:rPr>
          <w:rtl/>
        </w:rPr>
        <w:t xml:space="preserve">قسوة، والتي تؤدي إلى انقضاء الحق الإنصافي الذي يتمتع به المدين الراهن في فك الرهن</w:t>
      </w:r>
      <w:r>
        <w:rPr>
          <w:rtl/>
        </w:rPr>
        <w:t xml:space="preserve"> </w:t>
      </w:r>
      <w:r>
        <w:rPr>
          <w:rtl/>
        </w:rPr>
        <w:t xml:space="preserve">واسترداد المال المرهون بسبب تخلفه عن الوفاء بالدين الموثق بالرهن. مما يتيح للدائن المرتهن</w:t>
      </w:r>
      <w:r>
        <w:rPr>
          <w:rtl/>
        </w:rPr>
        <w:t xml:space="preserve"> </w:t>
      </w:r>
      <w:r>
        <w:rPr>
          <w:rtl/>
        </w:rPr>
        <w:t xml:space="preserve">اكتساب ملكية المال المرهون بعد انتقالها إليه. كما يعد غلق الرهن أيضاً نظاماً إنصافياً، فرضته</w:t>
      </w:r>
      <w:r>
        <w:rPr>
          <w:rtl/>
        </w:rPr>
        <w:t xml:space="preserve"> </w:t>
      </w:r>
      <w:r>
        <w:rPr>
          <w:rtl/>
        </w:rPr>
        <w:t xml:space="preserve">قواعد العدالة والإنصاف، لغرض القضاء على كل مماطلة أو تقاعس من جانب المدين الراهن</w:t>
      </w:r>
      <w:r>
        <w:rPr>
          <w:rtl/>
        </w:rPr>
        <w:t xml:space="preserve"> </w:t>
      </w:r>
      <w:r>
        <w:rPr>
          <w:rtl/>
        </w:rPr>
        <w:t xml:space="preserve">عن الوفاء بالدين المضمون بالرهن. أما بالنسبة إلى القانون المدني العراقي رقم (٤٠) لسنة</w:t>
      </w:r>
      <w:r>
        <w:rPr>
          <w:rtl/>
        </w:rPr>
        <w:t xml:space="preserve"> </w:t>
      </w:r>
      <w:r>
        <w:rPr>
          <w:rtl/>
        </w:rPr>
        <w:t xml:space="preserve">١٩٥١ ، وقانون المعاملات المدنية الإماراتي الاتحادي رقم (٥) لسنة ١٩٨٥ ، فقد جسدا غلق</w:t>
      </w:r>
      <w:r>
        <w:rPr>
          <w:rtl/>
        </w:rPr>
        <w:t xml:space="preserve"> </w:t>
      </w:r>
      <w:r>
        <w:rPr>
          <w:rtl/>
        </w:rPr>
        <w:t xml:space="preserve">الرهن بشرطين من الشروط المقترنة بالعقد وهما : شرط الاتفاق على تملك الدائن المرتهن المال</w:t>
      </w:r>
      <w:r>
        <w:rPr>
          <w:rtl/>
        </w:rPr>
        <w:t xml:space="preserve"> </w:t>
      </w:r>
      <w:r>
        <w:rPr>
          <w:rtl/>
        </w:rPr>
        <w:t xml:space="preserve">المرهون عند عدم الوفاء، والثاني هو شرط الطريق الممهد ، أو ما يعرف بشرط الاتفاق على بيع</w:t>
      </w:r>
      <w:r>
        <w:rPr>
          <w:rtl/>
        </w:rPr>
        <w:t xml:space="preserve"> </w:t>
      </w:r>
      <w:r>
        <w:rPr>
          <w:rtl/>
        </w:rPr>
        <w:t xml:space="preserve">العقار المرهون دون المرور بالإجراءات القانونية وقضيا ببطلانهما في الوقت الذي أجاز فيه</w:t>
      </w:r>
      <w:r>
        <w:rPr>
          <w:rtl/>
        </w:rPr>
        <w:t xml:space="preserve"> </w:t>
      </w:r>
      <w:r>
        <w:rPr>
          <w:rtl/>
        </w:rPr>
        <w:t xml:space="preserve">القانون المدني المصري رقم (۱۳۱) لسنة ١٩٤٨ غلق الرهن استثناء وعلى نطاق ضيق.</w:t>
      </w:r>
    </w:p>
    <w:p>
      <w:pPr>
        <w:bidi/>
      </w:pPr>
      <w:r>
        <w:rPr>
          <w:rtl/>
        </w:rPr>
        <w:t xml:space="preserve">الكلمات المفتاحية : غلق الرهن، فك الرهن الحق الإنصافي.</w:t>
      </w:r>
    </w:p>
    <w:p>
      <w:r>
        <w:pict>
          <v:rect style="width:0;height:1.5pt" o:hralign="center" o:hrstd="t" o:hr="t"/>
        </w:pict>
      </w:r>
    </w:p>
    <w:p>
      <w:pPr>
        <w:bidi/>
      </w:pPr>
      <w:r>
        <w:rPr>
          <w:rtl/>
        </w:rPr>
        <w:t xml:space="preserve">* استُلم بتاريخ</w:t>
      </w:r>
      <w:r>
        <w:rPr>
          <w:rtl/>
        </w:rPr>
        <w:t xml:space="preserve"> </w:t>
      </w:r>
      <w:r>
        <w:t xml:space="preserve">2020/11/18</w:t>
      </w:r>
      <w:r>
        <w:rPr>
          <w:rtl/>
        </w:rPr>
        <w:t xml:space="preserve"> </w:t>
      </w:r>
      <w:r>
        <w:rPr>
          <w:rtl/>
        </w:rPr>
        <w:t xml:space="preserve">و أجيز للنشر بتاريخ</w:t>
      </w:r>
      <w:r>
        <w:rPr>
          <w:rtl/>
        </w:rPr>
        <w:t xml:space="preserve"> </w:t>
      </w:r>
      <w:r>
        <w:t xml:space="preserve">2021/03/30</w:t>
      </w:r>
      <w:r>
        <w:rPr>
          <w:rtl/>
        </w:rPr>
        <w:t xml:space="preserve">.</w:t>
      </w:r>
    </w:p>
    <w:p>
      <w:pPr>
        <w:pStyle w:val="BodyText"/>
      </w:pPr>
      <w:r>
        <w:t xml:space="preserve">408</w:t>
      </w:r>
    </w:p>
    <w:p>
      <w:pPr>
        <w:bidi/>
      </w:pPr>
      <w:r>
        <w:rPr>
          <w:rtl/>
        </w:rPr>
        <w:t xml:space="preserve">السنة السادسة والثلاثون - مجلة جامعة الإمارات ]</w:t>
      </w:r>
    </w:p>
    <w:p>
      <w:pPr>
        <w:pStyle w:val="BodyText"/>
      </w:pPr>
      <w:r>
        <w:t xml:space="preserve">https://scholarworks.uaeu.ac.ae/sharia_and_law/vol2022/iss91/7</w:t>
      </w:r>
    </w:p>
    <w:p>
      <w:pPr>
        <w:pStyle w:val="BodyText"/>
      </w:pPr>
      <w:r>
        <w:t xml:space="preserve">2</w:t>
      </w:r>
    </w:p>
    <w:p>
      <w:r>
        <w:pict>
          <v:rect style="width:0;height:1.5pt" o:hralign="center" o:hrstd="t" o:hr="t"/>
        </w:pict>
      </w:r>
    </w:p>
    <w:p>
      <w:pPr>
        <w:bidi/>
      </w:pPr>
      <w:r>
        <w:rPr>
          <w:rtl/>
        </w:rPr>
        <w:t xml:space="preserve">Journal Sharia and Law, Vol. 2022, No. 91 [2022], Art. 7</w:t>
      </w:r>
    </w:p>
    <w:bookmarkEnd w:id="83"/>
    <w:bookmarkStart w:id="84" w:name="Xaf519f83340ed0a62747ec1f68c91146629acf6"/>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الدعوى للمطالبة بتنفيذ التعهدات الشخصية (</w:t>
      </w:r>
      <w:r>
        <w:t xml:space="preserve">Personal Covenants</w:t>
      </w:r>
      <w:r>
        <w:rPr>
          <w:rtl/>
        </w:rPr>
        <w:t xml:space="preserve">) بعد حصوله على أمر غلق الرهن. كما تتمتع المحكمة بسلطة تقديرية في إعادة النظر في غلق الرهن، إذا ما تبين لها أن ذلك في مصلحة المدين الراهن (</w:t>
      </w:r>
      <w:r>
        <w:t xml:space="preserve">Mortgagor</w:t>
      </w:r>
      <w:r>
        <w:rPr>
          <w:rtl/>
        </w:rPr>
        <w:t xml:space="preserve">). فضلاً عن إمكانية قيام المحكمة بإعادة النظر في غلق الرهن في مواجهة مشتري العقار من الدائن المرتهن (</w:t>
      </w:r>
      <w:r>
        <w:t xml:space="preserve">Mortgagee</w:t>
      </w:r>
      <w:r>
        <w:rPr>
          <w:rtl/>
        </w:rPr>
        <w:t xml:space="preserve">). ويذهب رأي في الفقه الإنجليزي (۹۹) إلى استحالة وضع قاعدة عامة لإعادة النظر في غلق الرهن، لأن كل شيء يعتمد على الظروف الخاصة والملابسة لكل قضية. ففي قضية (</w:t>
      </w:r>
      <w:r>
        <w:t xml:space="preserve">Campbell v Holyland 1877.7 Ch D 166</w:t>
      </w:r>
      <w:r>
        <w:rPr>
          <w:rtl/>
        </w:rPr>
        <w:t xml:space="preserve">) قررت المحكمة إعادة النظر في أمر غلق الرهن الذي أصدرته للدائن المرتهن، لمطالبته بالمنافع غير المشروعة (</w:t>
      </w:r>
      <w:r>
        <w:t xml:space="preserve">Undue profits</w:t>
      </w:r>
      <w:r>
        <w:rPr>
          <w:rtl/>
        </w:rPr>
        <w:t xml:space="preserve">) التي حصل عليها</w:t>
      </w:r>
    </w:p>
    <w:p>
      <w:r>
        <w:pict>
          <v:rect style="width:0;height:1.5pt" o:hralign="center" o:hrstd="t" o:hr="t"/>
        </w:pict>
      </w:r>
    </w:p>
    <w:p>
      <w:pPr>
        <w:bidi/>
      </w:pPr>
      <w:r>
        <w:rPr>
          <w:rtl/>
        </w:rPr>
        <w:t xml:space="preserve">= به محاكم الإنصاف (</w:t>
      </w:r>
      <w:r>
        <w:t xml:space="preserve">Courts of Equity</w:t>
      </w:r>
      <w:r>
        <w:rPr>
          <w:rtl/>
        </w:rPr>
        <w:t xml:space="preserve">) ويدخل ضمن اختصاصها، خلافاً للحق القانوني (</w:t>
      </w:r>
      <w:r>
        <w:t xml:space="preserve">legal Right</w:t>
      </w:r>
      <w:r>
        <w:rPr>
          <w:rtl/>
        </w:rPr>
        <w:t xml:space="preserve">) المستمد من المصادر القانونية المعروفة. ويمكن التمييز بين مبادىء العدالة والإنصاف (</w:t>
      </w:r>
      <w:r>
        <w:t xml:space="preserve">Equity</w:t>
      </w:r>
      <w:r>
        <w:rPr>
          <w:rtl/>
        </w:rPr>
        <w:t xml:space="preserve">) وقانون الأحكام العام (</w:t>
      </w:r>
      <w:r>
        <w:t xml:space="preserve">Common law</w:t>
      </w:r>
      <w:r>
        <w:rPr>
          <w:rtl/>
        </w:rPr>
        <w:t xml:space="preserve">) من حيث إن قانون الأحكام العام هو المنهج القانوني الذي تكون في إنكلترا بجهد قضاة المحاكم الملكية منذ الغزو النورماندي عام ١٠٦٦ .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rPr>
        <w:t xml:space="preserve">https://en.m.wikipedia.org/wiki/Equitable_right</w:t>
      </w:r>
    </w:p>
    <w:p>
      <w:pPr>
        <w:bidi/>
      </w:pPr>
      <w:r>
        <w:rPr>
          <w:rtl/>
        </w:rPr>
        <w:t xml:space="preserve">(99) E. H Burn and J. Cartwright. op. Cit.P.864.</w:t>
      </w:r>
    </w:p>
    <w:p>
      <w:r>
        <w:pict>
          <v:rect style="width:0;height:1.5pt" o:hralign="center" o:hrstd="t" o:hr="t"/>
        </w:pict>
      </w:r>
    </w:p>
    <w:p>
      <w:pPr>
        <w:bidi/>
      </w:pPr>
      <w:r>
        <w:rPr>
          <w:rtl/>
        </w:rPr>
        <w:t xml:space="preserve">444 السنة السادسة والثلاثون - مجلة جامعة الإمارات ]</w:t>
      </w:r>
    </w:p>
    <w:p>
      <w:pPr>
        <w:bidi/>
      </w:pPr>
      <w:r>
        <w:rPr>
          <w:rtl/>
        </w:rPr>
        <w:t xml:space="preserve">https://scholarworks.uaeu.ac.ae/sharia_and_law/vol2022/iss91/7</w:t>
      </w:r>
      <w:r>
        <w:rPr>
          <w:rtl/>
        </w:rPr>
        <w:t xml:space="preserve"> </w:t>
      </w:r>
      <w:r>
        <w:rPr>
          <w:rtl/>
        </w:rPr>
        <w:t xml:space="preserve">38</w:t>
      </w:r>
    </w:p>
    <w:p>
      <w:r>
        <w:pict>
          <v:rect style="width:0;height:1.5pt" o:hralign="center" o:hrstd="t" o:hr="t"/>
        </w:pict>
      </w:r>
    </w:p>
    <w:p>
      <w:r>
        <w:pict>
          <v:rect style="width:0;height:1.5pt" o:hralign="center" o:hrstd="t" o:hr="t"/>
        </w:pict>
      </w:r>
    </w:p>
    <w:p>
      <w:pPr>
        <w:bidi/>
      </w:pPr>
      <w:r>
        <w:rPr>
          <w:rtl/>
        </w:rPr>
        <w:t xml:space="preserve">د.يونس صلاح الدين علي]</w:t>
      </w:r>
    </w:p>
    <w:p>
      <w:pPr>
        <w:bidi/>
      </w:pPr>
      <w:r>
        <w:rPr>
          <w:rtl/>
        </w:rPr>
        <w:t xml:space="preserve">من غلق الرهن (١٠٠).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w:t>
      </w:r>
      <w:r>
        <w:rPr>
          <w:rtl/>
        </w:rPr>
        <w:t xml:space="preserve"> </w:t>
      </w:r>
      <w:r>
        <w:t xml:space="preserve">(Loan)</w:t>
      </w:r>
      <w:r>
        <w:rPr>
          <w:rtl/>
        </w:rPr>
        <w:t xml:space="preserve">.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w:t>
      </w:r>
      <w:r>
        <w:rPr>
          <w:rtl/>
        </w:rPr>
        <w:t xml:space="preserve"> </w:t>
      </w:r>
      <w:r>
        <w:t xml:space="preserve">(Mortgage Debt)</w:t>
      </w:r>
      <w:r>
        <w:rPr>
          <w:rtl/>
        </w:rPr>
        <w:t xml:space="preserve"> </w:t>
      </w:r>
      <w:r>
        <w:rPr>
          <w:rtl/>
        </w:rPr>
        <w:t xml:space="preserve">(۱۰۱).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End w:id="84"/>
    <w:bookmarkStart w:id="86" w:name="الفرع-الخامس"/>
    <w:p>
      <w:pPr>
        <w:pStyle w:val="Heading2"/>
        <w:bidi/>
      </w:pPr>
      <w:r>
        <w:rPr>
          <w:rtl/>
        </w:rPr>
        <w:t xml:space="preserve">الفرع الخامس</w:t>
      </w:r>
    </w:p>
    <w:bookmarkStart w:id="85" w:name="إمكانية-إبطال-غلق-الرهن"/>
    <w:p>
      <w:pPr>
        <w:pStyle w:val="Heading3"/>
        <w:bidi/>
      </w:pPr>
      <w:r>
        <w:rPr>
          <w:rtl/>
        </w:rPr>
        <w:t xml:space="preserve">إمكانية إبطال غلق الرهن</w:t>
      </w:r>
    </w:p>
    <w:p>
      <w:pPr>
        <w:bidi/>
      </w:pPr>
      <w:r>
        <w:rPr>
          <w:rtl/>
        </w:rPr>
        <w:t xml:space="preserve">يحق للمدين الراهن</w:t>
      </w:r>
      <w:r>
        <w:rPr>
          <w:rtl/>
        </w:rPr>
        <w:t xml:space="preserve"> </w:t>
      </w:r>
      <w:r>
        <w:t xml:space="preserve">(Mortgagor)</w:t>
      </w:r>
      <w:r>
        <w:rPr>
          <w:rtl/>
        </w:rPr>
        <w:t xml:space="preserve"> </w:t>
      </w:r>
      <w:r>
        <w:rPr>
          <w:rtl/>
        </w:rPr>
        <w:t xml:space="preserve">في أي وقت أن يطلب من المحكمة إبطال غلق الرهن، على الرغم من أنه إنهاء لحق فك الرهن الإنصافي</w:t>
      </w:r>
      <w:r>
        <w:rPr>
          <w:rtl/>
        </w:rPr>
        <w:t xml:space="preserve"> </w:t>
      </w:r>
      <w:r>
        <w:t xml:space="preserve">(Termination of the Equitable Right to Redeem)</w:t>
      </w:r>
      <w:r>
        <w:rPr>
          <w:rtl/>
        </w:rPr>
        <w:t xml:space="preserve">. وهو ما قررته المحكمة في حكمها الصادر في قضية</w:t>
      </w:r>
      <w:r>
        <w:rPr>
          <w:rtl/>
        </w:rPr>
        <w:t xml:space="preserve"> </w:t>
      </w:r>
      <w:r>
        <w:t xml:space="preserve">1877.7 Campbell v Holyland 166 C D</w:t>
      </w:r>
      <w:r>
        <w:rPr>
          <w:rtl/>
        </w:rPr>
        <w:t xml:space="preserve"> </w:t>
      </w:r>
      <w:r>
        <w:rPr>
          <w:rtl/>
        </w:rPr>
        <w:t xml:space="preserve">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w:t>
      </w:r>
      <w:r>
        <w:rPr>
          <w:rtl/>
        </w:rPr>
        <w:t xml:space="preserve"> </w:t>
      </w:r>
      <w:r>
        <w:t xml:space="preserve">(Undue Profits)</w:t>
      </w:r>
      <w:r>
        <w:rPr>
          <w:rtl/>
        </w:rPr>
        <w:t xml:space="preserve"> </w:t>
      </w:r>
      <w:r>
        <w:rPr>
          <w:rtl/>
        </w:rPr>
        <w:t xml:space="preserve">التي آلت إليه. وإذا ما تقرر إبطال غلق الرهن فإنه يسري</w:t>
      </w:r>
    </w:p>
    <w:p>
      <w:r>
        <w:pict>
          <v:rect style="width:0;height:1.5pt" o:hralign="center" o:hrstd="t" o:hr="t"/>
        </w:pict>
      </w:r>
    </w:p>
    <w:p>
      <w:pPr>
        <w:bidi/>
      </w:pPr>
      <w:r>
        <w:rPr>
          <w:rtl/>
        </w:rPr>
        <w:t xml:space="preserve">(١٠٠) لمزيد من التفصيل حول الموضوع ينظر الموقع الإلكتروني :</w:t>
      </w:r>
    </w:p>
    <w:p>
      <w:pPr>
        <w:bidi/>
      </w:pPr>
      <w:r>
        <w:rPr>
          <w:rtl/>
        </w:rPr>
        <w:t xml:space="preserve">https://quizlet.com/12183004/mortgages-flash-cards/</w:t>
      </w:r>
    </w:p>
    <w:p>
      <w:pPr>
        <w:bidi/>
      </w:pPr>
      <w:r>
        <w:rPr>
          <w:rtl/>
        </w:rPr>
        <w:t xml:space="preserve">(101) E. H Burn and J. Cartwright. op. Cit .P.865.</w:t>
      </w:r>
    </w:p>
    <w:p>
      <w:r>
        <w:pict>
          <v:rect style="width:0;height:1.5pt" o:hralign="center" o:hrstd="t" o:hr="t"/>
        </w:pict>
      </w:r>
    </w:p>
    <w:p>
      <w:pPr>
        <w:bidi/>
      </w:pPr>
      <w:r>
        <w:rPr>
          <w:rtl/>
        </w:rPr>
        <w:t xml:space="preserve">445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39</w:t>
      </w:r>
    </w:p>
    <w:p>
      <w:r>
        <w:pict>
          <v:rect style="width:0;height:1.5pt" o:hralign="center" o:hrstd="t" o:hr="t"/>
        </w:pict>
      </w:r>
    </w:p>
    <w:p>
      <w:pPr>
        <w:bidi/>
      </w:pPr>
      <w:r>
        <w:rPr>
          <w:rtl/>
        </w:rPr>
        <w:t xml:space="preserve">Journal Sharia and Law, Vol. 2022, No. 91 [2022], Art. 7</w:t>
      </w:r>
    </w:p>
    <w:bookmarkEnd w:id="85"/>
    <w:bookmarkEnd w:id="86"/>
    <w:bookmarkStart w:id="91" w:name="X3f1f801583fa463f5bdddbeaf220fe64dca09d5"/>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Start w:id="87" w:name="المطلب-الثاني-2"/>
    <w:p>
      <w:pPr>
        <w:pStyle w:val="Heading3"/>
        <w:bidi/>
      </w:pPr>
      <w:r>
        <w:rPr>
          <w:rtl/>
        </w:rPr>
        <w:t xml:space="preserve">المطلب الثاني</w:t>
      </w:r>
    </w:p>
    <w:bookmarkEnd w:id="87"/>
    <w:bookmarkStart w:id="88"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88"/>
    <w:bookmarkStart w:id="89" w:name="الفرع-الأول-2"/>
    <w:p>
      <w:pPr>
        <w:pStyle w:val="Heading3"/>
        <w:bidi/>
      </w:pPr>
      <w:r>
        <w:rPr>
          <w:rtl/>
        </w:rPr>
        <w:t xml:space="preserve">الفرع الأول</w:t>
      </w:r>
    </w:p>
    <w:bookmarkEnd w:id="89"/>
    <w:bookmarkStart w:id="90" w:name="X9f79d92583b53b910e974d7e7812ccc18e762c3"/>
    <w:p>
      <w:pPr>
        <w:pStyle w:val="Heading3"/>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(۱۳۱) من القانون المدني العراقي على أنه</w:t>
      </w:r>
    </w:p>
    <w:p>
      <w:r>
        <w:pict>
          <v:rect style="width:0;height:1.5pt" o:hralign="center" o:hrstd="t" o:hr="t"/>
        </w:pict>
      </w:r>
    </w:p>
    <w:p>
      <w:pPr>
        <w:bidi/>
      </w:pPr>
      <w:r>
        <w:rPr>
          <w:rtl/>
        </w:rPr>
        <w:t xml:space="preserve">(102) Rojer J. Smith. Property Law. op. Cit. P.592.</w:t>
      </w:r>
      <w:r>
        <w:br/>
      </w:r>
      <w:r>
        <w:rPr>
          <w:rtl/>
        </w:rPr>
        <w:t xml:space="preserve">(103) Martin Dixon. Modern Land Law. op. Cit. P.422.</w:t>
      </w:r>
      <w:r>
        <w:br/>
      </w:r>
      <w:r>
        <w:rPr>
          <w:rtl/>
        </w:rPr>
        <w:t xml:space="preserve">(١٠٤) د.درع حماد. النظرية العامة للالتزامات. القسم الأول. مصادر الالتزام. مكتبة السنهوري. بيروت. ٢٠١٦.</w:t>
      </w:r>
    </w:p>
    <w:p>
      <w:pPr>
        <w:bidi/>
      </w:pPr>
      <w:r>
        <w:rPr>
          <w:rtl/>
        </w:rPr>
        <w:t xml:space="preserve">https://scholarworks.uaeu.ac.ae/sharia_and_law/vol2022/iss91/7</w:t>
      </w:r>
    </w:p>
    <w:p>
      <w:pPr>
        <w:bidi/>
      </w:pPr>
      <w:r>
        <w:rPr>
          <w:rtl/>
        </w:rPr>
        <w:t xml:space="preserve">446</w:t>
      </w:r>
      <w:r>
        <w:rPr>
          <w:rtl/>
        </w:rPr>
        <w:t xml:space="preserve"> </w:t>
      </w:r>
      <w:r>
        <w:rPr>
          <w:rtl/>
        </w:rPr>
        <w:t xml:space="preserve">السنة السادسة والثلاثون - مجلة جامعة الإمارات ]</w:t>
      </w:r>
    </w:p>
    <w:p>
      <w:pPr>
        <w:bidi/>
      </w:pPr>
      <w:r>
        <w:rPr>
          <w:rtl/>
        </w:rPr>
        <w:t xml:space="preserve">40</w:t>
      </w:r>
    </w:p>
    <w:p>
      <w:r>
        <w:pict>
          <v:rect style="width:0;height:1.5pt" o:hralign="center" o:hrstd="t" o:hr="t"/>
        </w:pict>
      </w:r>
    </w:p>
    <w:p>
      <w:pPr>
        <w:bidi/>
      </w:pPr>
      <w:r>
        <w:rPr>
          <w:rtl/>
        </w:rPr>
        <w:t xml:space="preserve">Ali: ??? ????? ?? ??????? ????????? ????? ??????? ?????? ?????? ???????? ???????? ???????</w:t>
      </w:r>
    </w:p>
    <w:bookmarkEnd w:id="90"/>
    <w:bookmarkEnd w:id="91"/>
    <w:bookmarkStart w:id="92" w:name="د.يونس-صلاح-الدين-علي-4"/>
    <w:p>
      <w:pPr>
        <w:pStyle w:val="Heading2"/>
        <w:bidi/>
      </w:pPr>
      <w:r>
        <w:rPr>
          <w:rtl/>
        </w:rPr>
        <w:t xml:space="preserve">د.يونس صلاح الدين علي]</w:t>
      </w:r>
    </w:p>
    <w:p>
      <w:pPr>
        <w:bidi/>
      </w:pPr>
      <w:r>
        <w:rPr>
          <w:rtl/>
        </w:rPr>
        <w:t xml:space="preserve">(۱ - يجوز أن يقترن العقد بشرط يؤكد مقتضاه أو يلائمه أو يكون جاريًا به العرف والعادة).</w:t>
      </w:r>
    </w:p>
    <w:p>
      <w:pPr>
        <w:bidi/>
      </w:pPr>
      <w:r>
        <w:rPr>
          <w:rtl/>
        </w:rP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 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وإبطلاهما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 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 إلا أن البطلان يسري على الشرط وحده من دون عقد الرهن، فيلغى الشرط ويبقى عقد الرهن صحيحاً (١٠٦) ،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 فبمقتضى هذه الفقرة يعد الشرط المقترن بالعقد صحيحاً، مالم يكن شرطاً ممنوعاً قانوناً أو مخالفاً للنظام العام أو الآداب</w:t>
      </w:r>
    </w:p>
    <w:p>
      <w:pPr>
        <w:bidi/>
      </w:pPr>
      <w:r>
        <w:rPr>
          <w:rtl/>
        </w:rPr>
        <w:t xml:space="preserve">ص ۱۷۸.</w:t>
      </w:r>
    </w:p>
    <w:p>
      <w:pPr>
        <w:numPr>
          <w:ilvl w:val="0"/>
          <w:numId w:val="1010"/>
        </w:numPr>
        <w:pStyle w:val="Compact"/>
        <w:bidi/>
      </w:pPr>
      <w:r>
        <w:rPr>
          <w:rtl/>
        </w:rPr>
        <w:t xml:space="preserve">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numPr>
          <w:ilvl w:val="0"/>
          <w:numId w:val="1010"/>
        </w:numPr>
        <w:pStyle w:val="Compact"/>
        <w:bidi/>
      </w:pPr>
      <w:r>
        <w:rPr>
          <w:rtl/>
        </w:rPr>
        <w:t xml:space="preserve">محمد طه البشير ود. غني حسون طه. الحقوق العينية. الجزء الثاني. مصدر سابق. ص ٤٣٠ .</w:t>
      </w:r>
    </w:p>
    <w:p>
      <w:pPr>
        <w:bidi/>
      </w:pPr>
      <w:r>
        <w:rPr>
          <w:rtl/>
        </w:rPr>
        <w:t xml:space="preserve">447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92"/>
    <w:bookmarkStart w:id="93" w:name="X2bfe2aa31128df96734b0b618ad9e1b08fdaf2c"/>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r>
        <w:pict>
          <v:rect style="width:0;height:1.5pt" o:hralign="center" o:hrstd="t" o:hr="t"/>
        </w:pict>
      </w:r>
    </w:p>
    <w:p>
      <w:pPr>
        <w:numPr>
          <w:ilvl w:val="0"/>
          <w:numId w:val="1011"/>
        </w:numPr>
        <w:pStyle w:val="Compact"/>
        <w:bidi/>
      </w:pPr>
      <w:r>
        <w:rPr>
          <w:rtl/>
        </w:rPr>
        <w:t xml:space="preserve">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11"/>
        </w:numPr>
        <w:pStyle w:val="Compact"/>
        <w:bidi/>
      </w:pPr>
      <w:r>
        <w:rPr>
          <w:rtl/>
        </w:rPr>
        <w:t xml:space="preserve">د. عصمت عبد المجيد بكر . الوجيز في العقود المدنية المسماة - الرهن مصدر سابق. ص۲۳۰.</w:t>
      </w:r>
    </w:p>
    <w:p>
      <w:pPr>
        <w:numPr>
          <w:ilvl w:val="0"/>
          <w:numId w:val="1011"/>
        </w:numPr>
        <w:pStyle w:val="Compact"/>
        <w:bidi/>
      </w:pPr>
      <w:r>
        <w:rPr>
          <w:rtl/>
        </w:rPr>
        <w:t xml:space="preserve">د. عبد الرزاق أحمد السنهوري. الوسيط في شرح القانون المدني. ج ١٠. مصدر سابق، ص۳۳۲.</w:t>
      </w:r>
    </w:p>
    <w:p>
      <w:pPr>
        <w:numPr>
          <w:ilvl w:val="0"/>
          <w:numId w:val="1011"/>
        </w:numPr>
        <w:pStyle w:val="Compact"/>
        <w:bidi/>
      </w:pPr>
      <w:r>
        <w:rPr>
          <w:rtl/>
        </w:rPr>
        <w:t xml:space="preserve">د. عصمت عبد المجيد بكر . الوجيز في العقود المدنية المسماة الرهن. مصدر سابق. ص۲۲۸.</w:t>
      </w:r>
    </w:p>
    <w:p>
      <w:pPr>
        <w:numPr>
          <w:ilvl w:val="0"/>
          <w:numId w:val="1011"/>
        </w:numPr>
        <w:pStyle w:val="Compact"/>
        <w:bidi/>
      </w:pPr>
      <w:r>
        <w:rPr>
          <w:rtl/>
        </w:rPr>
        <w:t xml:space="preserve">محمد طه البشير ود. غني حسون طه الحقوق العينية. الجزء الثاني. مصدر سابق. ص ٤٣١ .</w:t>
      </w:r>
    </w:p>
    <w:p>
      <w:pPr>
        <w:numPr>
          <w:ilvl w:val="0"/>
          <w:numId w:val="1011"/>
        </w:numPr>
        <w:pStyle w:val="Compact"/>
        <w:bidi/>
      </w:pPr>
      <w:r>
        <w:rPr>
          <w:rtl/>
        </w:rPr>
        <w:t xml:space="preserve">د. طارق كاظم عجيل. الحقوق العينية الأصلية. الجزء الأول. حق الملكية دار السنهوري. بيروت لبنان. ٢٠١٩. ص ١٧.</w:t>
      </w:r>
    </w:p>
    <w:p>
      <w:pPr>
        <w:bidi/>
      </w:pPr>
      <w:r>
        <w:rPr>
          <w:rtl/>
        </w:rPr>
        <w:t xml:space="preserve">448 [السنة السادسة والثلاثون - مجلة جامعة الإمارات]</w:t>
      </w:r>
    </w:p>
    <w:p>
      <w:pPr>
        <w:bidi/>
      </w:pPr>
      <w:r>
        <w:rPr>
          <w:rtl/>
        </w:rPr>
        <w:t xml:space="preserve">https://scholarworks.uaeu.ac.ae/sharia_and_law/vol2022/iss91/7</w:t>
      </w:r>
    </w:p>
    <w:p>
      <w:pPr>
        <w:bidi/>
      </w:pPr>
      <w:r>
        <w:rPr>
          <w:rtl/>
        </w:rPr>
        <w:t xml:space="preserve">42</w:t>
      </w:r>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93"/>
    <w:bookmarkStart w:id="95" w:name="الفرع-الثاني-2"/>
    <w:p>
      <w:pPr>
        <w:pStyle w:val="Heading2"/>
        <w:bidi/>
      </w:pPr>
      <w:r>
        <w:rPr>
          <w:rtl/>
        </w:rPr>
        <w:t xml:space="preserve">الفرع الثاني</w:t>
      </w:r>
    </w:p>
    <w:bookmarkStart w:id="94" w:name="بطلان-شرط-غلق-الرهن-وعقد-الرهن-معا"/>
    <w:p>
      <w:pPr>
        <w:pStyle w:val="Heading3"/>
        <w:bidi/>
      </w:pPr>
      <w:r>
        <w:rPr>
          <w:rtl/>
        </w:rPr>
        <w:t xml:space="preserve">بطلان شرط غلق الرهن وعقد الرهن معاً</w:t>
      </w:r>
    </w:p>
    <w:p>
      <w:pPr>
        <w:bidi/>
      </w:pPr>
      <w:r>
        <w:rPr>
          <w:rtl/>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r>
        <w:pict>
          <v:rect style="width:0;height:1.5pt" o:hralign="center" o:hrstd="t" o:hr="t"/>
        </w:pict>
      </w:r>
    </w:p>
    <w:p>
      <w:pPr>
        <w:bidi/>
      </w:pPr>
      <w:r>
        <w:rPr>
          <w:rtl/>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bidi/>
      </w:pPr>
      <w:r>
        <w:rPr>
          <w:rtl/>
        </w:rPr>
        <w:t xml:space="preserve">(114) Dan E. Stigall. Iraqi Civil Law: Its Sources Substance and Sundering. Journal of Transnational Law &amp; Policy. Volume 16. Number 1.2006. P.30.</w:t>
      </w:r>
    </w:p>
    <w:p>
      <w:pPr>
        <w:bidi/>
      </w:pPr>
      <w:r>
        <w:rPr>
          <w:rtl/>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rPr>
        <w:t xml:space="preserve">(۱۱۷) د. عبد الرزاق أحمد السنهوري. الوسيط في شرح القانون المدني . ج ۱۰ . مصدر سابق. ص ٣٣٤.</w:t>
      </w:r>
    </w:p>
    <w:p>
      <w:pPr>
        <w:bidi/>
      </w:pPr>
      <w:r>
        <w:rPr>
          <w:rtl/>
        </w:rPr>
        <w:t xml:space="preserve">449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43</w:t>
      </w:r>
    </w:p>
    <w:p>
      <w:r>
        <w:pict>
          <v:rect style="width:0;height:1.5pt" o:hralign="center" o:hrstd="t" o:hr="t"/>
        </w:pict>
      </w:r>
    </w:p>
    <w:p>
      <w:pPr>
        <w:pStyle w:val="FirstParagraph"/>
      </w:pPr>
      <w: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94"/>
    <w:bookmarkEnd w:id="95"/>
    <w:bookmarkStart w:id="97" w:name="الخاتمة"/>
    <w:p>
      <w:pPr>
        <w:pStyle w:val="Heading2"/>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96" w:name="Xd6850b7e4b3348c647e88a1e61156efdc53b58e"/>
    <w:p>
      <w:pPr>
        <w:pStyle w:val="Heading3"/>
        <w:bidi/>
      </w:pPr>
      <w:r>
        <w:rPr>
          <w:rtl/>
        </w:rPr>
        <w:t xml:space="preserve">أولاً: النتائج : وقد توصلت الدراسة إلى النتائج الآتية:</w:t>
      </w:r>
    </w:p>
    <w:p>
      <w:pPr>
        <w:numPr>
          <w:ilvl w:val="0"/>
          <w:numId w:val="1012"/>
        </w:numPr>
        <w:bidi/>
      </w:pPr>
      <w:r>
        <w:rPr>
          <w:rtl/>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2"/>
        </w:numPr>
        <w:bidi/>
      </w:pPr>
      <w:r>
        <w:rPr>
          <w:rtl/>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2"/>
        </w:numPr>
        <w:bidi/>
      </w:pPr>
      <w:r>
        <w:rPr>
          <w:rtl/>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t xml:space="preserve">450</w:t>
      </w:r>
    </w:p>
    <w:p>
      <w:pPr>
        <w:bidi/>
      </w:pPr>
      <w:r>
        <w:rPr>
          <w:rtl/>
        </w:rPr>
        <w:t xml:space="preserve">السنة السادسة والثلاثون - مجلة جامعة الإمارات ]</w:t>
      </w:r>
    </w:p>
    <w:p>
      <w:pPr>
        <w:pStyle w:val="BodyText"/>
      </w:pPr>
      <w:r>
        <w:t xml:space="preserve">https://scholarworks.uaeu.ac.ae/sharia_and_law/vol2022/iss91/7</w:t>
      </w:r>
    </w:p>
    <w:p>
      <w:pPr>
        <w:pStyle w:val="BodyText"/>
      </w:pPr>
      <w:r>
        <w:t xml:space="preserve">44</w:t>
      </w:r>
    </w:p>
    <w:p>
      <w:r>
        <w:pict>
          <v:rect style="width:0;height:1.5pt" o:hralign="center" o:hrstd="t" o:hr="t"/>
        </w:pict>
      </w:r>
    </w:p>
    <w:p>
      <w:pPr>
        <w:bidi/>
      </w:pPr>
      <w:r>
        <w:rPr>
          <w:rtl/>
        </w:rPr>
        <w:t xml:space="preserve">Ali: ??? ????? ?? ??????? ????????? ????? ??????? ?????? ?????? ???????? ???????? ???????</w:t>
      </w:r>
      <w:r>
        <w:br/>
      </w:r>
      <w:r>
        <w:rPr>
          <w:rtl/>
        </w:rPr>
        <w:t xml:space="preserve">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numPr>
          <w:ilvl w:val="0"/>
          <w:numId w:val="1013"/>
        </w:numPr>
        <w:bidi/>
      </w:pPr>
      <w:r>
        <w:rPr>
          <w:rtl/>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numPr>
          <w:ilvl w:val="0"/>
          <w:numId w:val="1013"/>
        </w:numPr>
        <w:bidi/>
      </w:pPr>
      <w:r>
        <w:rPr>
          <w:rtl/>
        </w:rPr>
        <w:t xml:space="preserve">(٥)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numPr>
          <w:ilvl w:val="0"/>
          <w:numId w:val="1013"/>
        </w:num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numPr>
          <w:ilvl w:val="0"/>
          <w:numId w:val="1013"/>
        </w:numPr>
        <w:bidi/>
      </w:pPr>
      <w:r>
        <w:rPr>
          <w:rtl/>
        </w:rPr>
        <w:t xml:space="preserve">(٧) 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rPr>
        <w:t xml:space="preserve">451                                                                                                                                                                                                                                                                                                                                                                                                                                                                                                                                                                                                                                                                                                                                                                                                                                                                                                                                                                                                                                       </w:t>
      </w:r>
    </w:p>
    <w:p>
      <w:pPr>
        <w:bidi/>
      </w:pPr>
      <w:r>
        <w:rPr>
          <w:rtl/>
        </w:rPr>
        <w:t xml:space="preserve">Published by Scholarworks@UAEU, 2022</w:t>
      </w:r>
      <w:r>
        <w:rPr>
          <w:rtl/>
        </w:rPr>
        <w:t xml:space="preserve">45</w:t>
      </w:r>
    </w:p>
    <w:p>
      <w:r>
        <w:pict>
          <v:rect style="width:0;height:1.5pt" o:hralign="center" o:hrstd="t" o:hr="t"/>
        </w:pict>
      </w:r>
    </w:p>
    <w:p>
      <w:pPr>
        <w:bidi/>
      </w:pPr>
      <w:r>
        <w:rPr>
          <w:rtl/>
        </w:rPr>
        <w:t xml:space="preserve">Journal Sharia and Law, Vol. 2022, No. 91 [2022], Art. 7</w:t>
      </w:r>
    </w:p>
    <w:bookmarkEnd w:id="96"/>
    <w:bookmarkEnd w:id="97"/>
    <w:bookmarkStart w:id="98" w:name="Xc1954072ff2ad2d5a6e61d92fe1db850e60c760"/>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والمادتان (۲۷) و (۲۸) من قانون رهن الأموال المنقولة الاتحادي الإماراتي رقم (٢٠) لسنة ٢٠١٦.</w:t>
      </w:r>
    </w:p>
    <w:p>
      <w:pPr>
        <w:bidi/>
      </w:pPr>
      <w:r>
        <w:rPr>
          <w:rtl/>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End w:id="98"/>
    <w:bookmarkStart w:id="99" w:name="ثانيا-التوصيات"/>
    <w:p>
      <w:pPr>
        <w:pStyle w:val="Heading2"/>
        <w:bidi/>
      </w:pPr>
      <w:r>
        <w:rPr>
          <w:rtl/>
        </w:rPr>
        <w:t xml:space="preserve">ثانياً: التوصيات:</w:t>
      </w:r>
    </w:p>
    <w:p>
      <w:pPr>
        <w:bidi/>
      </w:pPr>
      <w:r>
        <w:rPr>
          <w:rtl/>
        </w:rPr>
        <w:t xml:space="preserve">بعد الانتهاء من عرض النتائج التي توصلت إليها الدراسة، فإننا نقترح التوصيات الآتية:</w:t>
      </w:r>
    </w:p>
    <w:p>
      <w:pPr>
        <w:numPr>
          <w:ilvl w:val="0"/>
          <w:numId w:val="1014"/>
        </w:numPr>
        <w:pStyle w:val="Compact"/>
        <w:bidi/>
      </w:pPr>
      <w:r>
        <w:rPr>
          <w:rtl/>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 ]</w:t>
      </w:r>
    </w:p>
    <w:p>
      <w:pPr>
        <w:bidi/>
      </w:pPr>
      <w:r>
        <w:rPr>
          <w:rtl/>
        </w:rPr>
        <w:t xml:space="preserve">https://scholarworks.uaeu.ac.ae/sharia_and_law/vol2022/iss91/7</w:t>
      </w:r>
    </w:p>
    <w:p>
      <w:pPr>
        <w:bidi/>
      </w:pPr>
      <w:r>
        <w:rPr>
          <w:rtl/>
        </w:rPr>
        <w:t xml:space="preserve">46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bidi/>
      </w:pPr>
      <w:r>
        <w:rPr>
          <w:rtl/>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w:t>
      </w:r>
    </w:p>
    <w:p>
      <w:pPr>
        <w:numPr>
          <w:ilvl w:val="0"/>
          <w:numId w:val="1015"/>
        </w:numPr>
        <w:pStyle w:val="Compact"/>
        <w:bidi/>
      </w:pPr>
      <w:r>
        <w:rPr>
          <w:rtl/>
        </w:rPr>
        <w:t xml:space="preserve">أ-إهماله وتقصيره أو تعمده في عدم إصلاح العقار المرهون أو صيانته أو التأمين عليه أو المحافظة عليه في حالة جيدة للتقليل من قيمته وتعرضه للهلاك .</w:t>
      </w:r>
    </w:p>
    <w:p>
      <w:pPr>
        <w:numPr>
          <w:ilvl w:val="0"/>
          <w:numId w:val="1015"/>
        </w:numPr>
        <w:pStyle w:val="Compact"/>
        <w:bidi/>
      </w:pPr>
      <w:r>
        <w:rPr>
          <w:rtl/>
        </w:rPr>
        <w:t xml:space="preserve">ب - تعمده التهرب من دفع الضرائب المترتبة على العقار المرهون.</w:t>
      </w:r>
    </w:p>
    <w:p>
      <w:pPr>
        <w:numPr>
          <w:ilvl w:val="0"/>
          <w:numId w:val="1015"/>
        </w:numPr>
        <w:pStyle w:val="Compact"/>
        <w:bidi/>
      </w:pPr>
      <w:r>
        <w:rPr>
          <w:rtl/>
        </w:rPr>
        <w:t xml:space="preserve">ج- تعمده بيع العقار المرهون بثمن بخس من دون إذن الدائن المرتهن أو موافقته للإضرار به).</w:t>
      </w:r>
    </w:p>
    <w:p>
      <w:pPr>
        <w:bidi/>
      </w:pPr>
      <w:r>
        <w:rPr>
          <w:rtl/>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pPr>
        <w:bidi/>
      </w:pPr>
      <w:r>
        <w:rPr>
          <w:rtl/>
        </w:rPr>
        <w:t xml:space="preserve">453</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47</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99"/>
    <w:bookmarkEnd w:id="100"/>
    <w:bookmarkStart w:id="105" w:name="المقدمة"/>
    <w:p>
      <w:pPr>
        <w:pStyle w:val="Heading1"/>
        <w:bidi/>
      </w:pPr>
      <w:r>
        <w:rPr>
          <w:rtl/>
        </w:rPr>
        <w:t xml:space="preserve">المقدمة :</w:t>
      </w:r>
    </w:p>
    <w:bookmarkStart w:id="101" w:name="أولا-مدخل-تعريفي-بموضوع-البحث"/>
    <w:p>
      <w:pPr>
        <w:pStyle w:val="Heading2"/>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101"/>
    <w:bookmarkStart w:id="102" w:name="ثانيا-أسباب-اختيار-موضوع-البحث"/>
    <w:p>
      <w:pPr>
        <w:pStyle w:val="Heading2"/>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102"/>
    <w:bookmarkStart w:id="103" w:name="ثالثا-أهمية-البحث"/>
    <w:p>
      <w:pPr>
        <w:pStyle w:val="Heading2"/>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r>
        <w:pict>
          <v:rect style="width:0;height:1.5pt" o:hralign="center" o:hrstd="t" o:hr="t"/>
        </w:pict>
      </w:r>
    </w:p>
    <w:p>
      <w:pPr>
        <w:bidi/>
      </w:pPr>
      <w:r>
        <w:rPr>
          <w:rtl/>
        </w:rPr>
        <w:t xml:space="preserve">409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w:t>
      </w:r>
    </w:p>
    <w:p>
      <w:r>
        <w:pict>
          <v:rect style="width:0;height:1.5pt" o:hralign="center" o:hrstd="t" o:hr="t"/>
        </w:pict>
      </w:r>
    </w:p>
    <w:p>
      <w:pPr>
        <w:bidi/>
      </w:pPr>
      <w:r>
        <w:rPr>
          <w:rtl/>
        </w:rPr>
        <w:t xml:space="preserve">Journal Sharia and Law, Vol. 2022, No. 91 [2022], Art. 7</w:t>
      </w:r>
    </w:p>
    <w:bookmarkEnd w:id="103"/>
    <w:bookmarkStart w:id="104" w:name="Xb6f457f46f9a9e7bf5fde62960b8ed5009b02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6"/>
        </w:numPr>
        <w:bidi/>
      </w:pPr>
      <w:r>
        <w:rPr>
          <w:rtl/>
        </w:rP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w:t>
      </w:r>
    </w:p>
    <w:p>
      <w:pPr>
        <w:numPr>
          <w:ilvl w:val="0"/>
          <w:numId w:val="1000"/>
        </w:numPr>
        <w:bidi/>
      </w:pPr>
      <w:r>
        <w:rPr>
          <w:rtl/>
        </w:rPr>
        <w:t xml:space="preserve">(للمحكمة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6"/>
        </w:numPr>
        <w:bidi/>
      </w:pPr>
      <w:r>
        <w:rPr>
          <w:rtl/>
        </w:rP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w:t>
      </w:r>
    </w:p>
    <w:p>
      <w:pPr>
        <w:numPr>
          <w:ilvl w:val="0"/>
          <w:numId w:val="1000"/>
        </w:numPr>
        <w:bidi/>
      </w:pPr>
      <w:r>
        <w:rPr>
          <w:rtl/>
        </w:rPr>
        <w:t xml:space="preserve">(يجوز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rPr>
        <w:t xml:space="preserve">454 السنة السادسة والثلاثون - مجلة جامعة الإمارات ]</w:t>
      </w:r>
    </w:p>
    <w:p>
      <w:pPr>
        <w:bidi/>
      </w:pPr>
      <w:r>
        <w:rPr>
          <w:rtl/>
        </w:rPr>
        <w:t xml:space="preserve">48</w:t>
      </w:r>
    </w:p>
    <w:p>
      <w:pPr>
        <w:bidi/>
      </w:pPr>
      <w:r>
        <w:rPr>
          <w:rtl/>
        </w:rPr>
        <w:t xml:space="preserve">https://scholarworks.uaeu.ac.ae/sharia_and_law/vol2022/iss91/7</w:t>
      </w:r>
    </w:p>
    <w:p>
      <w:r>
        <w:pict>
          <v:rect style="width:0;height:1.5pt" o:hralign="center" o:hrstd="t" o:hr="t"/>
        </w:pict>
      </w:r>
    </w:p>
    <w:p>
      <w:pPr>
        <w:pStyle w:val="FirstParagraph"/>
      </w:pPr>
      <w:r>
        <w:t xml:space="preserve">Journal Sharia and Law, Vol. 2022, No. 91 [2022], Art. 7</w:t>
      </w:r>
    </w:p>
    <w:bookmarkEnd w:id="104"/>
    <w:bookmarkEnd w:id="105"/>
    <w:bookmarkStart w:id="114" w:name="X98a22b5a11b21a530e2143d130e697d154d0eba"/>
    <w:p>
      <w:pPr>
        <w:pStyle w:val="Heading1"/>
        <w:bidi/>
      </w:pPr>
      <w:r>
        <w:rPr>
          <w:rtl/>
        </w:rPr>
        <w:t xml:space="preserve">غلق الرهن في القانون الإنجليزي دراسة تحليلية مقارنة بالفقه الإسلامي والقانون المقارن]</w:t>
      </w:r>
    </w:p>
    <w:p>
      <w:pPr>
        <w:bidi/>
      </w:pPr>
      <w:r>
        <w:rPr>
          <w:rtl/>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106" w:name="رابعا-مشكلة-البحث"/>
    <w:p>
      <w:pPr>
        <w:pStyle w:val="Heading2"/>
        <w:bidi/>
      </w:pPr>
      <w:r>
        <w:rPr>
          <w:rtl/>
        </w:rPr>
        <w:t xml:space="preserve">رابعاً: مشكلة البحث:</w:t>
      </w:r>
    </w:p>
    <w:p>
      <w:pPr>
        <w:bidi/>
      </w:pPr>
      <w:r>
        <w:rPr>
          <w:rtl/>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106"/>
    <w:bookmarkStart w:id="107" w:name="خامسا-نطاق-البحث-ومنهجيته"/>
    <w:p>
      <w:pPr>
        <w:pStyle w:val="Heading2"/>
        <w:bidi/>
      </w:pPr>
      <w:r>
        <w:rPr>
          <w:rtl/>
        </w:rPr>
        <w:t xml:space="preserve">خامساً: نطاق البحث ومنهجيته:</w:t>
      </w:r>
    </w:p>
    <w:p>
      <w:pPr>
        <w:bidi/>
      </w:pPr>
      <w:r>
        <w:rPr>
          <w:rtl/>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rPr>
        <w:t xml:space="preserve">410</w:t>
      </w:r>
      <w:r>
        <w:rPr>
          <w:rtl/>
        </w:rPr>
        <w:t xml:space="preserve"> </w:t>
      </w:r>
      <w:r>
        <w:rPr>
          <w:rtl/>
        </w:rPr>
        <w:t xml:space="preserve">السنة السادسة والثلاثون - مجلة جامعة الإمارات ]</w:t>
      </w:r>
    </w:p>
    <w:p>
      <w:pPr>
        <w:bidi/>
      </w:pPr>
      <w:r>
        <w:rPr>
          <w:rtl/>
        </w:rPr>
        <w:t xml:space="preserve">4</w:t>
      </w:r>
      <w:r>
        <w:rPr>
          <w:rtl/>
        </w:rPr>
        <w:t xml:space="preserve"> </w:t>
      </w: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107"/>
    <w:bookmarkStart w:id="108" w:name="سادسا-خطة-البحث"/>
    <w:p>
      <w:pPr>
        <w:pStyle w:val="Heading2"/>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numPr>
          <w:ilvl w:val="0"/>
          <w:numId w:val="1017"/>
        </w:numPr>
        <w:pStyle w:val="Compact"/>
        <w:bidi/>
      </w:pPr>
      <w:r>
        <w:rPr>
          <w:rtl/>
        </w:rPr>
        <w:t xml:space="preserve">المبحث الأول: مفهوم غلق الرهن في القانونين الإنجليزي والمقارن</w:t>
      </w:r>
    </w:p>
    <w:p>
      <w:pPr>
        <w:numPr>
          <w:ilvl w:val="0"/>
          <w:numId w:val="1017"/>
        </w:numPr>
        <w:pStyle w:val="Compact"/>
        <w:bidi/>
      </w:pPr>
      <w:r>
        <w:rPr>
          <w:rtl/>
        </w:rPr>
        <w:t xml:space="preserve">المبحث الثاني: موقف الفقه الإسلامي من غلق الرهن ومدى تأثر القوانين المقارنة به</w:t>
      </w:r>
    </w:p>
    <w:p>
      <w:pPr>
        <w:numPr>
          <w:ilvl w:val="0"/>
          <w:numId w:val="1017"/>
        </w:numPr>
        <w:pStyle w:val="Compact"/>
        <w:bidi/>
      </w:pPr>
      <w:r>
        <w:rPr>
          <w:rtl/>
        </w:rPr>
        <w:t xml:space="preserve">المبحث الثالث: الآثار القانونية المترتبة على غلق الرهن في القانونين الإنجليزي والمقارن</w:t>
      </w:r>
    </w:p>
    <w:bookmarkEnd w:id="108"/>
    <w:bookmarkStart w:id="110" w:name="المبحث-الأول"/>
    <w:p>
      <w:pPr>
        <w:pStyle w:val="Heading2"/>
        <w:bidi/>
      </w:pPr>
      <w:r>
        <w:rPr>
          <w:rtl/>
        </w:rPr>
        <w:t xml:space="preserve">المبحث الأول</w:t>
      </w:r>
    </w:p>
    <w:bookmarkStart w:id="109" w:name="Xe308d6de4b1a01c59dd52aa630969b0b02039e7"/>
    <w:p>
      <w:pPr>
        <w:pStyle w:val="Heading3"/>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109"/>
    <w:bookmarkEnd w:id="110"/>
    <w:bookmarkStart w:id="112" w:name="المطلب-الأول-2"/>
    <w:p>
      <w:pPr>
        <w:pStyle w:val="Heading2"/>
        <w:bidi/>
      </w:pPr>
      <w:r>
        <w:rPr>
          <w:rtl/>
        </w:rPr>
        <w:t xml:space="preserve">المطلب الأول</w:t>
      </w:r>
    </w:p>
    <w:bookmarkStart w:id="111" w:name="X0a7b75c652594bda3b718e0147c394777dfff0b"/>
    <w:p>
      <w:pPr>
        <w:pStyle w:val="Heading3"/>
        <w:bidi/>
      </w:pPr>
      <w:r>
        <w:rPr>
          <w:rtl/>
        </w:rPr>
        <w:t xml:space="preserve">تعريف غلق الرهن في القانونين الإنجليزي والمقارن</w:t>
      </w:r>
    </w:p>
    <w:p>
      <w:pPr>
        <w:bidi/>
      </w:pPr>
      <w:r>
        <w:rPr>
          <w:rtl/>
        </w:rPr>
        <w:t xml:space="preserve">عرف جانب من الفقه الإنجليزي (۱) غلق الرهن (Foreclosure) بأنه المعالجة الأكثر</w:t>
      </w:r>
    </w:p>
    <w:p>
      <w:pPr>
        <w:bidi/>
      </w:pPr>
      <w:r>
        <w:rPr>
          <w:rtl/>
        </w:rPr>
        <w:t xml:space="preserve">(1) Daniel F. Hinkel. Practical Real Estate Law. Fifth Edition. West Legal Studies. New York. 2008. P.288.</w:t>
      </w:r>
    </w:p>
    <w:p>
      <w:pPr>
        <w:bidi/>
      </w:pPr>
      <w:r>
        <w:rPr>
          <w:rtl/>
        </w:rPr>
        <w:t xml:space="preserve">411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w:t>
      </w:r>
    </w:p>
    <w:p>
      <w:r>
        <w:pict>
          <v:rect style="width:0;height:1.5pt" o:hralign="center" o:hrstd="t" o:hr="t"/>
        </w:pict>
      </w:r>
    </w:p>
    <w:p>
      <w:pPr>
        <w:bidi/>
      </w:pPr>
      <w:r>
        <w:rPr>
          <w:rtl/>
        </w:rPr>
        <w:t xml:space="preserve">Journal Sharia and Law, Vol. 2022, No. 91 [2022], Art. 7</w:t>
      </w:r>
    </w:p>
    <w:bookmarkEnd w:id="111"/>
    <w:bookmarkEnd w:id="112"/>
    <w:bookmarkStart w:id="113" w:name="X5dc45eae79b22b98b17bef445daa4c96b740c74"/>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للمال(Absolute Owner). وعرف أيضاً (۳) بأنه وضع حد لحق المدين الراهن في فك الرهن (Right to Redeem)،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الراهن(٦). ولا يتمتع الدائن المرتهن بممارسة حقه في غلق الرهن وتملك العقار المرهون، إلا إذا</w:t>
      </w:r>
    </w:p>
    <w:p>
      <w:pPr>
        <w:bidi/>
      </w:pPr>
      <w:r>
        <w:rPr>
          <w:rtl/>
        </w:rPr>
        <w:t xml:space="preserve">(2) Rojer J. Smith. Introduction to land Law. Longman Pearson Education Limited. 2007. P.275.</w:t>
      </w:r>
    </w:p>
    <w:p>
      <w:pPr>
        <w:bidi/>
      </w:pPr>
      <w:r>
        <w:rPr>
          <w:rtl/>
        </w:rPr>
        <w:t xml:space="preserve">(3) James Karp &amp; Elliot Klayman. Real Estate Law. Fifth Edition. Dearborn Financial Publishing Inc. 2003.P.462.</w:t>
      </w:r>
    </w:p>
    <w:p>
      <w:pPr>
        <w:bidi/>
      </w:pPr>
      <w:r>
        <w:rPr>
          <w:rtl/>
        </w:rPr>
        <w:t xml:space="preserve">(4) Chris Davies. Property Law Guidebook. Second Edition. Oxford University Press. 2015. P.112.</w:t>
      </w:r>
    </w:p>
    <w:p>
      <w:pPr>
        <w:bidi/>
      </w:pPr>
      <w:r>
        <w:rPr>
          <w:rtl/>
        </w:rPr>
        <w:t xml:space="preserve">(5) Douglas Wood. Law and the Built Environment. First Edition. MACMILLAN PRESS LTD.London. 1999. P.137.</w:t>
      </w:r>
    </w:p>
    <w:p>
      <w:pPr>
        <w:bidi/>
      </w:pPr>
      <w:r>
        <w:rPr>
          <w:rtl/>
        </w:rPr>
        <w:t xml:space="preserve">(6) Kevin Gray &amp; Susan Francis Gray. Land Law. Seventh Edition. Oxford University Press.</w:t>
      </w:r>
    </w:p>
    <w:p>
      <w:r>
        <w:pict>
          <v:rect style="width:0;height:1.5pt" o:hralign="center" o:hrstd="t" o:hr="t"/>
        </w:pict>
      </w:r>
    </w:p>
    <w:p>
      <w:pPr>
        <w:bidi/>
      </w:pPr>
      <w:r>
        <w:rPr>
          <w:rtl/>
        </w:rPr>
        <w:t xml:space="preserve">السنة السادسة والثلاثون - مجلة جامعة الإمارات ]</w:t>
      </w:r>
      <w:r>
        <w:rPr>
          <w:rtl/>
        </w:rPr>
        <w:t xml:space="preserve"> </w:t>
      </w:r>
      <w:r>
        <w:rPr>
          <w:rtl/>
        </w:rPr>
        <w:t xml:space="preserve">[IMAGE_PLACEHOLDER:page_number_412:Article number 412 in a black box]</w:t>
      </w:r>
    </w:p>
    <w:p>
      <w:pPr>
        <w:bidi/>
      </w:pPr>
      <w:r>
        <w:rPr>
          <w:rtl/>
        </w:rPr>
        <w:t xml:space="preserve">https://scholarworks.uaeu.ac.ae/sharia_and_law/vol2022/iss91/7</w:t>
      </w:r>
    </w:p>
    <w:p>
      <w:pPr>
        <w:bidi/>
      </w:pPr>
      <w:r>
        <w:rPr>
          <w:rtl/>
        </w:rPr>
        <w:t xml:space="preserve">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bidi/>
      </w:pPr>
      <w:r>
        <w:rPr>
          <w:rtl/>
        </w:rPr>
        <w:t xml:space="preserve">2011. P.316.</w:t>
      </w:r>
    </w:p>
    <w:p>
      <w:pPr>
        <w:numPr>
          <w:ilvl w:val="0"/>
          <w:numId w:val="1018"/>
        </w:numPr>
        <w:pStyle w:val="Compact"/>
        <w:bidi/>
      </w:pPr>
      <w:r>
        <w:rPr>
          <w:rtl/>
        </w:rPr>
        <w:t xml:space="preserve">Daniel F. Hinkel. op. Cit. P.288.</w:t>
      </w:r>
    </w:p>
    <w:p>
      <w:pPr>
        <w:numPr>
          <w:ilvl w:val="0"/>
          <w:numId w:val="1018"/>
        </w:numPr>
        <w:pStyle w:val="Compact"/>
        <w:bidi/>
      </w:pPr>
      <w:r>
        <w:rPr>
          <w:rtl/>
        </w:rPr>
        <w:t xml:space="preserve">Rojer J. Smith. Property Law. Eighth Edition. PEARSON Education Limited. London. 2014. P.592.</w:t>
      </w:r>
    </w:p>
    <w:p>
      <w:pPr>
        <w:numPr>
          <w:ilvl w:val="0"/>
          <w:numId w:val="1018"/>
        </w:numPr>
        <w:pStyle w:val="Compact"/>
        <w:bidi/>
      </w:pPr>
      <w:r>
        <w:rPr>
          <w:rtl/>
        </w:rPr>
        <w:t xml:space="preserve">Chris Davies. op. Cit. P.112.</w:t>
      </w:r>
    </w:p>
    <w:p>
      <w:pPr>
        <w:numPr>
          <w:ilvl w:val="0"/>
          <w:numId w:val="1018"/>
        </w:numPr>
        <w:pStyle w:val="Compact"/>
        <w:bidi/>
      </w:pPr>
      <w:r>
        <w:rPr>
          <w:rtl/>
        </w:rPr>
        <w:t xml:space="preserve">Steven L. Emanuel. Emanuel law outlines. Property. Ninth Edition. Wolters Kluwer. New York.2017. P.479.</w:t>
      </w:r>
    </w:p>
    <w:p>
      <w:pPr>
        <w:bidi/>
      </w:pPr>
      <w:r>
        <w:rPr>
          <w:rtl/>
        </w:rPr>
        <w:t xml:space="preserve">413</w:t>
      </w:r>
      <w:r>
        <w:rPr>
          <w:rtl/>
        </w:rPr>
        <w:t xml:space="preserve"> </w:t>
      </w:r>
      <w:r>
        <w:rPr>
          <w:rtl/>
        </w:rPr>
        <w:t xml:space="preserve">العدد الواحد والتسعون - ذو الحجة 1443 هـ يوليو 2022]</w:t>
      </w:r>
    </w:p>
    <w:p>
      <w:pPr>
        <w:bidi/>
      </w:pPr>
      <w:r>
        <w:rPr>
          <w:rtl/>
        </w:rPr>
        <w:t xml:space="preserve">7</w:t>
      </w:r>
    </w:p>
    <w:p>
      <w:pPr>
        <w:bidi/>
      </w:pPr>
      <w:r>
        <w:rPr>
          <w:rtl/>
        </w:rPr>
        <w:t xml:space="preserve">Published by Scholarworks@UAEU, 2022</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14">
    <w:nsid w:val="A992014"/>
    <w:multiLevelType w:val="multilevel"/>
    <w:lvl w:ilvl="0">
      <w:start w:val="14"/>
      <w:numFmt w:val="decimal"/>
      <w:lvlText w:val="%1."/>
      <w:lvlJc w:val="left"/>
      <w:pPr>
        <w:ind w:left="720" w:hanging="480"/>
      </w:pPr>
    </w:lvl>
    <w:lvl w:ilvl="1">
      <w:start w:val="14"/>
      <w:numFmt w:val="lowerLetter"/>
      <w:lvlText w:val="%2."/>
      <w:lvlJc w:val="left"/>
      <w:pPr>
        <w:ind w:left="1440" w:hanging="480"/>
      </w:pPr>
    </w:lvl>
    <w:lvl w:ilvl="2">
      <w:start w:val="14"/>
      <w:numFmt w:val="lowerRoman"/>
      <w:lvlText w:val="%3."/>
      <w:lvlJc w:val="left"/>
      <w:pPr>
        <w:ind w:left="2160" w:hanging="480"/>
      </w:pPr>
    </w:lvl>
    <w:lvl w:ilvl="3">
      <w:start w:val="14"/>
      <w:numFmt w:val="decimal"/>
      <w:lvlText w:val="%4."/>
      <w:lvlJc w:val="left"/>
      <w:pPr>
        <w:ind w:left="2880" w:hanging="480"/>
      </w:pPr>
    </w:lvl>
    <w:lvl w:ilvl="4">
      <w:start w:val="14"/>
      <w:numFmt w:val="lowerLetter"/>
      <w:lvlText w:val="%5."/>
      <w:lvlJc w:val="left"/>
      <w:pPr>
        <w:ind w:left="3600" w:hanging="480"/>
      </w:pPr>
    </w:lvl>
    <w:lvl w:ilvl="5">
      <w:start w:val="14"/>
      <w:numFmt w:val="lowerRoman"/>
      <w:lvlText w:val="%6."/>
      <w:lvlJc w:val="left"/>
      <w:pPr>
        <w:ind w:left="4320" w:hanging="480"/>
      </w:pPr>
    </w:lvl>
    <w:lvl w:ilvl="6">
      <w:start w:val="14"/>
      <w:numFmt w:val="decimal"/>
      <w:lvlText w:val="%7."/>
      <w:lvlJc w:val="left"/>
      <w:pPr>
        <w:ind w:left="5040" w:hanging="480"/>
      </w:pPr>
    </w:lvl>
    <w:lvl w:ilvl="7">
      <w:start w:val="14"/>
      <w:numFmt w:val="lowerLetter"/>
      <w:lvlText w:val="%8."/>
      <w:lvlJc w:val="left"/>
      <w:pPr>
        <w:ind w:left="5760" w:hanging="480"/>
      </w:pPr>
    </w:lvl>
    <w:lvl w:ilvl="8">
      <w:start w:val="14"/>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76">
    <w:nsid w:val="A992076"/>
    <w:multiLevelType w:val="multilevel"/>
    <w:lvl w:ilvl="0">
      <w:start w:val="76"/>
      <w:numFmt w:val="decimal"/>
      <w:lvlText w:val="%1."/>
      <w:lvlJc w:val="left"/>
      <w:pPr>
        <w:ind w:left="720" w:hanging="480"/>
      </w:pPr>
    </w:lvl>
    <w:lvl w:ilvl="1">
      <w:start w:val="76"/>
      <w:numFmt w:val="lowerLetter"/>
      <w:lvlText w:val="%2."/>
      <w:lvlJc w:val="left"/>
      <w:pPr>
        <w:ind w:left="1440" w:hanging="480"/>
      </w:pPr>
    </w:lvl>
    <w:lvl w:ilvl="2">
      <w:start w:val="76"/>
      <w:numFmt w:val="lowerRoman"/>
      <w:lvlText w:val="%3."/>
      <w:lvlJc w:val="left"/>
      <w:pPr>
        <w:ind w:left="2160" w:hanging="480"/>
      </w:pPr>
    </w:lvl>
    <w:lvl w:ilvl="3">
      <w:start w:val="76"/>
      <w:numFmt w:val="decimal"/>
      <w:lvlText w:val="%4."/>
      <w:lvlJc w:val="left"/>
      <w:pPr>
        <w:ind w:left="2880" w:hanging="480"/>
      </w:pPr>
    </w:lvl>
    <w:lvl w:ilvl="4">
      <w:start w:val="76"/>
      <w:numFmt w:val="lowerLetter"/>
      <w:lvlText w:val="%5."/>
      <w:lvlJc w:val="left"/>
      <w:pPr>
        <w:ind w:left="3600" w:hanging="480"/>
      </w:pPr>
    </w:lvl>
    <w:lvl w:ilvl="5">
      <w:start w:val="76"/>
      <w:numFmt w:val="lowerRoman"/>
      <w:lvlText w:val="%6."/>
      <w:lvlJc w:val="left"/>
      <w:pPr>
        <w:ind w:left="4320" w:hanging="480"/>
      </w:pPr>
    </w:lvl>
    <w:lvl w:ilvl="6">
      <w:start w:val="76"/>
      <w:numFmt w:val="decimal"/>
      <w:lvlText w:val="%7."/>
      <w:lvlJc w:val="left"/>
      <w:pPr>
        <w:ind w:left="5040" w:hanging="480"/>
      </w:pPr>
    </w:lvl>
    <w:lvl w:ilvl="7">
      <w:start w:val="76"/>
      <w:numFmt w:val="lowerLetter"/>
      <w:lvlText w:val="%8."/>
      <w:lvlJc w:val="left"/>
      <w:pPr>
        <w:ind w:left="5760" w:hanging="480"/>
      </w:pPr>
    </w:lvl>
    <w:lvl w:ilvl="8">
      <w:start w:val="76"/>
      <w:numFmt w:val="lowerRoman"/>
      <w:lvlText w:val="%9."/>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7">
    <w:nsid w:val="A99207"/>
    <w:multiLevelType w:val="multilevel"/>
    <w:lvl w:ilvl="0">
      <w:start w:val="7"/>
      <w:numFmt w:val="decimal"/>
      <w:lvlText w:val="%1."/>
      <w:lvlJc w:val="left"/>
      <w:pPr>
        <w:ind w:left="720" w:hanging="480"/>
      </w:pPr>
    </w:lvl>
    <w:lvl w:ilvl="1">
      <w:start w:val="7"/>
      <w:numFmt w:val="lowerLetter"/>
      <w:lvlText w:val="%2."/>
      <w:lvlJc w:val="left"/>
      <w:pPr>
        <w:ind w:left="1440" w:hanging="480"/>
      </w:pPr>
    </w:lvl>
    <w:lvl w:ilvl="2">
      <w:start w:val="7"/>
      <w:numFmt w:val="lowerRoman"/>
      <w:lvlText w:val="%3."/>
      <w:lvlJc w:val="left"/>
      <w:pPr>
        <w:ind w:left="2160" w:hanging="480"/>
      </w:pPr>
    </w:lvl>
    <w:lvl w:ilvl="3">
      <w:start w:val="7"/>
      <w:numFmt w:val="decimal"/>
      <w:lvlText w:val="%4."/>
      <w:lvlJc w:val="left"/>
      <w:pPr>
        <w:ind w:left="2880" w:hanging="480"/>
      </w:pPr>
    </w:lvl>
    <w:lvl w:ilvl="4">
      <w:start w:val="7"/>
      <w:numFmt w:val="lowerLetter"/>
      <w:lvlText w:val="%5."/>
      <w:lvlJc w:val="left"/>
      <w:pPr>
        <w:ind w:left="3600" w:hanging="480"/>
      </w:pPr>
    </w:lvl>
    <w:lvl w:ilvl="5">
      <w:start w:val="7"/>
      <w:numFmt w:val="lowerRoman"/>
      <w:lvlText w:val="%6."/>
      <w:lvlJc w:val="left"/>
      <w:pPr>
        <w:ind w:left="4320" w:hanging="480"/>
      </w:pPr>
    </w:lvl>
    <w:lvl w:ilvl="6">
      <w:start w:val="7"/>
      <w:numFmt w:val="decimal"/>
      <w:lvlText w:val="%7."/>
      <w:lvlJc w:val="left"/>
      <w:pPr>
        <w:ind w:left="5040" w:hanging="480"/>
      </w:pPr>
    </w:lvl>
    <w:lvl w:ilvl="7">
      <w:start w:val="7"/>
      <w:numFmt w:val="lowerLetter"/>
      <w:lvlText w:val="%8."/>
      <w:lvlJc w:val="left"/>
      <w:pPr>
        <w:ind w:left="5760" w:hanging="480"/>
      </w:pPr>
    </w:lvl>
    <w:lvl w:ilvl="8">
      <w:start w:val="7"/>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 Type="http://schemas.openxmlformats.org/officeDocument/2006/relationships/hyperlink" Id="rId22" Target="mailto:sljournal@uaeu.ac.ae" TargetMode="External" /><Relationship Type="http://schemas.openxmlformats.org/officeDocument/2006/relationships/hyperlink" Id="rId62"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 Type="http://schemas.openxmlformats.org/officeDocument/2006/relationships/hyperlink" Id="rId22" Target="mailto:sljournal@uaeu.ac.ae" TargetMode="External" /><Relationship Type="http://schemas.openxmlformats.org/officeDocument/2006/relationships/hyperlink" Id="rId62"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 - Page 1</dc:title>
  <dc:creator/>
  <dc:language>ar</dc:language>
  <cp:keywords/>
  <dcterms:created xsi:type="dcterms:W3CDTF">2025-10-28T22:16:29Z</dcterms:created>
  <dcterms:modified xsi:type="dcterms:W3CDTF">2025-10-28T22:16:29Z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