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rPr>
        <w:t xml:space="preserve">Article 7</w:t>
      </w:r>
    </w:p>
    <w:bookmarkStart w:id="26" w:name="journal-sharia-and-law"/>
    <w:p>
      <w:pPr>
        <w:pStyle w:val="Heading1"/>
        <w:bidi/>
      </w:pPr>
      <w:r>
        <w:rPr>
          <w:rtl/>
        </w:rPr>
        <w:t xml:space="preserve">Journal Sharia and Law</w:t>
      </w:r>
    </w:p>
    <w:p>
      <w:pPr>
        <w:bidi/>
      </w:pPr>
      <w:r>
        <w:rPr>
          <w:rtl/>
        </w:rPr>
        <w:t xml:space="preserve">Volume 2022</w:t>
      </w:r>
      <w:r>
        <w:br/>
      </w:r>
      <w:r>
        <w:rPr>
          <w:rtl/>
        </w:rPr>
        <w:t xml:space="preserve">Number 91 Year 36, Issue No. 91 July 2022</w:t>
      </w:r>
    </w:p>
    <w:p>
      <w:pPr>
        <w:bidi/>
      </w:pPr>
      <w:r>
        <w:rPr>
          <w:rtl/>
        </w:rPr>
        <w:t xml:space="preserve">January 2022</w:t>
      </w:r>
    </w:p>
    <w:bookmarkStart w:id="25" w:name="X73d703a15365db15715a265eb2adf32d92b9a71"/>
    <w:p>
      <w:pPr>
        <w:pStyle w:val="Heading2"/>
        <w:bidi/>
      </w:pPr>
      <w:r>
        <w:rPr>
          <w:rtl/>
        </w:rPr>
        <w:t xml:space="preserve">Foreclosure in English law: A Comparative Analytical Study of Islamic Jurisprudence and Comparative Law</w:t>
      </w:r>
    </w:p>
    <w:p>
      <w:pPr>
        <w:bidi/>
      </w:pPr>
      <w:r>
        <w:rPr>
          <w:rtl/>
        </w:rPr>
        <w:t xml:space="preserve">Dr. Younis Salah Eddin Ali</w:t>
      </w:r>
    </w:p>
    <w:p>
      <w:pPr>
        <w:bidi/>
      </w:pPr>
      <w:r>
        <w:rPr>
          <w:rtl/>
        </w:rPr>
        <w:t xml:space="preserve">Assistant Professor of Private Law, College of Law, International Relations and Diplomacy, Cihan University, Erbil, Iraq,</w:t>
      </w:r>
      <w:r>
        <w:rPr>
          <w:rtl/>
        </w:rPr>
        <w:t xml:space="preserve"> </w:t>
      </w:r>
      <w:hyperlink r:id="rId20">
        <w:r>
          <w:rPr>
            <w:rStyle w:val="Hyperlink"/>
            <w:rtl/>
          </w:rPr>
          <w:t xml:space="preserve">younis888_sss@yahoo.com</w:t>
        </w:r>
      </w:hyperlink>
    </w:p>
    <w:p>
      <w:pPr>
        <w:bidi/>
      </w:pPr>
      <w:r>
        <w:rPr>
          <w:rtl/>
        </w:rPr>
        <w:t xml:space="preserve">Follow this and additional works at:</w:t>
      </w:r>
      <w:r>
        <w:rPr>
          <w:rtl/>
        </w:rPr>
        <w:t xml:space="preserve"> </w:t>
      </w:r>
      <w:hyperlink r:id="rId21">
        <w:r>
          <w:rPr>
            <w:rStyle w:val="Hyperlink"/>
            <w:rtl/>
          </w:rPr>
          <w:t xml:space="preserve">https://scholarworks.uaeu.ac.ae/sharia_and_law</w:t>
        </w:r>
      </w:hyperlink>
    </w:p>
    <w:p>
      <w:pPr>
        <w:bidi/>
      </w:pPr>
      <w:r>
        <w:rPr>
          <w:rtl/>
        </w:rPr>
        <w:t xml:space="preserve">Part of the Civil Law Commons</w:t>
      </w:r>
    </w:p>
    <w:bookmarkStart w:id="24"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w:t>
      </w:r>
      <w:r>
        <w:rPr>
          <w:rtl/>
        </w:rPr>
        <w:t xml:space="preserve"> </w:t>
      </w:r>
      <w:r>
        <w:rPr>
          <w:rtl/>
          <w:bCs/>
          <w:b/>
        </w:rPr>
        <w:t xml:space="preserve">Journal Sharia and Law</w:t>
      </w:r>
      <w:r>
        <w:rPr>
          <w:rtl/>
        </w:rPr>
        <w:t xml:space="preserve">: Vol. 2022: No. 91, Article 7. Available at:</w:t>
      </w:r>
      <w:r>
        <w:rPr>
          <w:rtl/>
        </w:rPr>
        <w:t xml:space="preserve"> </w:t>
      </w:r>
      <w:hyperlink r:id="rId22">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3">
        <w:r>
          <w:rPr>
            <w:rStyle w:val="Hyperlink"/>
            <w:rtl/>
          </w:rPr>
          <w:t xml:space="preserve">sljournal@uaeu.ac.ae</w:t>
        </w:r>
      </w:hyperlink>
      <w:r>
        <w:rPr>
          <w:rtl/>
        </w:rPr>
        <w:t xml:space="preserve">.</w:t>
      </w:r>
    </w:p>
    <w:p>
      <w:r>
        <w:pict>
          <v:rect style="width:0;height:1.5pt" o:hralign="center" o:hrstd="t" o:hr="t"/>
        </w:pict>
      </w:r>
    </w:p>
    <w:bookmarkEnd w:id="24"/>
    <w:bookmarkEnd w:id="25"/>
    <w:bookmarkEnd w:id="26"/>
    <w:bookmarkStart w:id="31" w:name="X807cfd917b84fabda0222983066c45525ef4f74"/>
    <w:p>
      <w:pPr>
        <w:pStyle w:val="Heading1"/>
        <w:bidi/>
      </w:pPr>
      <w:r>
        <w:rPr>
          <w:rtl/>
        </w:rPr>
        <w:t xml:space="preserve">Foreclosure in English law: A Comparative Analytical Study of Islamic Jurisprudence and Comparative Law</w:t>
      </w:r>
    </w:p>
    <w:bookmarkStart w:id="27" w:name="cover-page-footnote"/>
    <w:p>
      <w:pPr>
        <w:pStyle w:val="Heading2"/>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2">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27"/>
    <w:bookmarkStart w:id="30" w:name="Xbe6f57bc3d32dd4bcaaaff2c6d9202c27d17532"/>
    <w:p>
      <w:pPr>
        <w:pStyle w:val="Heading2"/>
        <w:bidi/>
      </w:pPr>
      <w:r>
        <w:rPr>
          <w:rtl/>
        </w:rPr>
        <w:t xml:space="preserve">Foreclosure in English law:</w:t>
      </w:r>
      <w:r>
        <w:br/>
      </w:r>
      <w:r>
        <w:rPr>
          <w:rtl/>
        </w:rPr>
        <w:t xml:space="preserve">A Comparative Analytical Study of Islamic</w:t>
      </w:r>
      <w:r>
        <w:br/>
      </w:r>
      <w:r>
        <w:rPr>
          <w:rtl/>
        </w:rPr>
        <w:t xml:space="preserve">Jurisprudence and Comparative Law*</w:t>
      </w:r>
    </w:p>
    <w:bookmarkStart w:id="28" w:name="dr.-yunus-salahuddin-ali"/>
    <w:p>
      <w:pPr>
        <w:pStyle w:val="Heading3"/>
        <w:bidi/>
      </w:pPr>
      <w:r>
        <w:rPr>
          <w:rtl/>
        </w:rPr>
        <w:t xml:space="preserve">Dr. Yunus Salahuddin Ali</w:t>
      </w:r>
    </w:p>
    <w:p>
      <w:pPr>
        <w:bidi/>
      </w:pPr>
      <w:r>
        <w:rPr>
          <w:rtl/>
        </w:rPr>
        <w:t xml:space="preserve">Assistant Professor of Private Law, College of Law,</w:t>
      </w:r>
      <w:r>
        <w:br/>
      </w:r>
      <w:r>
        <w:rPr>
          <w:rtl/>
        </w:rPr>
        <w:t xml:space="preserve">International Relations and Diplomacy, Cihan University, Erbil, Iraq</w:t>
      </w:r>
      <w:r>
        <w:br/>
      </w:r>
      <w:hyperlink r:id="rId20">
        <w:r>
          <w:rPr>
            <w:rStyle w:val="Hyperlink"/>
            <w:rtl/>
          </w:rPr>
          <w:t xml:space="preserve">younis888_sss@yahoo.com</w:t>
        </w:r>
      </w:hyperlink>
    </w:p>
    <w:bookmarkEnd w:id="28"/>
    <w:bookmarkStart w:id="29" w:name="abstract"/>
    <w:p>
      <w:pPr>
        <w:pStyle w:val="Heading3"/>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rPr>
        <w:t xml:space="preserve">Keywords:</w:t>
      </w:r>
      <w:r>
        <w:rPr>
          <w:rtl/>
        </w:rPr>
        <w:t xml:space="preserve"> </w:t>
      </w:r>
      <w:r>
        <w:rPr>
          <w:rtl/>
        </w:rPr>
        <w:t xml:space="preserve">Foreclosure, Redemption, Equitable Right.</w:t>
      </w:r>
    </w:p>
    <w:p>
      <w:pPr>
        <w:bidi/>
      </w:pPr>
      <w:r>
        <w:rPr>
          <w:rtl/>
        </w:rPr>
        <w:t xml:space="preserve">* Received on November 18, 2020 and authorized for publication on March 30, 2021</w: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29"/>
    <w:bookmarkEnd w:id="30"/>
    <w:bookmarkEnd w:id="31"/>
    <w:bookmarkStart w:id="46" w:name="غلق-الرهن-في-القانون-الإنجليزي"/>
    <w:p>
      <w:pPr>
        <w:pStyle w:val="Heading1"/>
        <w:bidi/>
      </w:pPr>
      <w:r>
        <w:rPr>
          <w:rtl/>
        </w:rPr>
        <w:t xml:space="preserve">غلق الرهن في القانون الإنجليزي</w:t>
      </w:r>
    </w:p>
    <w:bookmarkStart w:id="32" w:name="Xa29d843ff82da92d213fb231d6d9003890f4793"/>
    <w:p>
      <w:pPr>
        <w:pStyle w:val="Heading3"/>
        <w:bidi/>
      </w:pPr>
      <w:r>
        <w:rPr>
          <w:rtl/>
        </w:rPr>
        <w:t xml:space="preserve">دراسة تحليلية مقارنة بالفقه الإسلامي والقانون المقارن.</w:t>
      </w:r>
    </w:p>
    <w:p>
      <w:pPr>
        <w:bidi/>
      </w:pPr>
      <w:r>
        <w:rPr>
          <w:rtl/>
        </w:rPr>
        <w:t xml:space="preserve">د. یونس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End w:id="32"/>
    <w:bookmarkStart w:id="33" w:name="ملخص-البحث"/>
    <w:p>
      <w:pPr>
        <w:pStyle w:val="Heading2"/>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w:t>
      </w:r>
      <w:r>
        <w:rPr>
          <w:rtl/>
        </w:rPr>
        <w:t xml:space="preserve"> </w:t>
      </w:r>
      <w:r>
        <w:rPr>
          <w:rtl/>
        </w:rPr>
        <w:t xml:space="preserve">قسوة، والتي تؤدي إلى انقضاء الحق الإنصافي الذي يتمتع به المدين الراهن في فك الرهن</w:t>
      </w:r>
      <w:r>
        <w:rPr>
          <w:rtl/>
        </w:rPr>
        <w:t xml:space="preserve"> </w:t>
      </w:r>
      <w:r>
        <w:rPr>
          <w:rtl/>
        </w:rPr>
        <w:t xml:space="preserve">واسترداد المال المرهون بسبب تخلفه عن الوفاء بالدين الموثق بالرهن. مما يتيح للدائن المرتهن</w:t>
      </w:r>
      <w:r>
        <w:rPr>
          <w:rtl/>
        </w:rPr>
        <w:t xml:space="preserve"> </w:t>
      </w:r>
      <w:r>
        <w:rPr>
          <w:rtl/>
        </w:rPr>
        <w:t xml:space="preserve">اكتساب ملكية المال المرهون بعد انتقالها إليه. كما يعد غلق الرهن أيضاً نظاماً إنصافياً، فرضته</w:t>
      </w:r>
      <w:r>
        <w:rPr>
          <w:rtl/>
        </w:rPr>
        <w:t xml:space="preserve"> </w:t>
      </w:r>
      <w:r>
        <w:rPr>
          <w:rtl/>
        </w:rPr>
        <w:t xml:space="preserve">قواعد العدالة والإنصاف، لغرض القضاء على كل مماطلة أو تقاعس من جانب المدين الراهن</w:t>
      </w:r>
      <w:r>
        <w:rPr>
          <w:rtl/>
        </w:rPr>
        <w:t xml:space="preserve"> </w:t>
      </w:r>
      <w:r>
        <w:rPr>
          <w:rtl/>
        </w:rPr>
        <w:t xml:space="preserve">عن الوفاء بالدين المضمون بالرهن. أما بالنسبة إلى القانون المدني العراقي رقم (٤٠) لسنة</w:t>
      </w:r>
      <w:r>
        <w:rPr>
          <w:rtl/>
        </w:rPr>
        <w:t xml:space="preserve"> </w:t>
      </w:r>
      <w:r>
        <w:rPr>
          <w:rtl/>
        </w:rPr>
        <w:t xml:space="preserve">١٩٥١ ، وقانون المعاملات المدنية الإماراتي الاتحادي رقم (٥) لسنة ١٩٨٥ ، فقد جسدا غلق</w:t>
      </w:r>
      <w:r>
        <w:rPr>
          <w:rtl/>
        </w:rPr>
        <w:t xml:space="preserve"> </w:t>
      </w:r>
      <w:r>
        <w:rPr>
          <w:rtl/>
        </w:rPr>
        <w:t xml:space="preserve">الرهن بشرطين من الشروط المقترنة بالعقد وهما : شرط الاتفاق على تملك الدائن المرتهن المال</w:t>
      </w:r>
      <w:r>
        <w:rPr>
          <w:rtl/>
        </w:rPr>
        <w:t xml:space="preserve"> </w:t>
      </w:r>
      <w:r>
        <w:rPr>
          <w:rtl/>
        </w:rPr>
        <w:t xml:space="preserve">المرهون عند عدم الوفاء، والثاني هو شرط الطريق الممهد ، أو ما يعرف بشرط الاتفاق على بيع</w:t>
      </w:r>
      <w:r>
        <w:rPr>
          <w:rtl/>
        </w:rPr>
        <w:t xml:space="preserve"> </w:t>
      </w:r>
      <w:r>
        <w:rPr>
          <w:rtl/>
        </w:rPr>
        <w:t xml:space="preserve">العقار المرهون دون المرور بالإجراءات القانونية وقضيا ببطلانهما في الوقت الذي أجاز فيه</w:t>
      </w:r>
      <w:r>
        <w:rPr>
          <w:rtl/>
        </w:rPr>
        <w:t xml:space="preserve"> </w:t>
      </w:r>
      <w:r>
        <w:rPr>
          <w:rtl/>
        </w:rPr>
        <w:t xml:space="preserve">القانون المدني المصري رقم (۱۳۱) لسنة ١٩٤٨ غلق الرهن استثناء وعلى نطاق ضيق.</w:t>
      </w:r>
    </w:p>
    <w:p>
      <w:pPr>
        <w:bidi/>
      </w:pPr>
      <w:r>
        <w:rPr>
          <w:rtl/>
        </w:rPr>
        <w:t xml:space="preserve">الكلمات المفتاحية : غلق الرهن، فك الرهن الحق الإنصافي.</w:t>
      </w:r>
    </w:p>
    <w:p>
      <w:pPr>
        <w:bidi/>
      </w:pPr>
      <w:r>
        <w:rPr>
          <w:rtl/>
        </w:rPr>
        <w:t xml:space="preserve">* استُلم بتاريخ 2020/11/18 و أجيز للنشر بتاريخ 2021/03/30.</w:t>
      </w:r>
    </w:p>
    <w:p>
      <w:pPr>
        <w:bidi/>
      </w:pPr>
      <w:r>
        <w:rPr>
          <w:rtl/>
        </w:rPr>
        <w:t xml:space="preserve">408 السنة السادسة والثلاثون - مجلة جامعة الإمارات ]</w:t>
      </w:r>
    </w:p>
    <w:p>
      <w:pPr>
        <w:bidi/>
      </w:pPr>
      <w:r>
        <w:rPr>
          <w:rtl/>
        </w:rPr>
        <w:t xml:space="preserve">https://scholarworks.uaeu.ac.ae/sharia_and_law/vol2022/iss91/7</w:t>
      </w:r>
      <w:r>
        <w:rPr>
          <w:rtl/>
        </w:rPr>
        <w:t xml:space="preserve">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33"/>
    <w:bookmarkStart w:id="37" w:name="المقدمة"/>
    <w:p>
      <w:pPr>
        <w:pStyle w:val="Heading2"/>
        <w:bidi/>
      </w:pPr>
      <w:r>
        <w:rPr>
          <w:rtl/>
        </w:rPr>
        <w:t xml:space="preserve">المقدمة :</w:t>
      </w:r>
    </w:p>
    <w:bookmarkStart w:id="34" w:name="أولا-مدخل-تعريفي-بموضوع-البحث"/>
    <w:p>
      <w:pPr>
        <w:pStyle w:val="Heading3"/>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4"/>
    <w:bookmarkStart w:id="35" w:name="ثانيا-أسباب-اختيار-موضوع-البحث"/>
    <w:p>
      <w:pPr>
        <w:pStyle w:val="Heading3"/>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5"/>
    <w:bookmarkStart w:id="36" w:name="ثالثا-أهمية-البحث"/>
    <w:p>
      <w:pPr>
        <w:pStyle w:val="Heading3"/>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bidi/>
      </w:pPr>
      <w:r>
        <w:rPr>
          <w:rtl/>
        </w:rPr>
        <w:t xml:space="preserve">Journal Sharia and Law, Vol. 2022, No. 91 [2022], Art. 7</w:t>
      </w:r>
    </w:p>
    <w:bookmarkEnd w:id="36"/>
    <w:bookmarkEnd w:id="37"/>
    <w:bookmarkStart w:id="38" w:name="X7bcfa86e6e691285dde13bca14d27d7eed58d5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End w:id="38"/>
    <w:bookmarkStart w:id="39" w:name="رابعا-مشكلة-البحث"/>
    <w:p>
      <w:pPr>
        <w:pStyle w:val="Heading2"/>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9"/>
    <w:bookmarkStart w:id="40" w:name="خامسا-نطاق-البحث-ومنهجيته"/>
    <w:p>
      <w:pPr>
        <w:pStyle w:val="Heading2"/>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rPr>
        <w:t xml:space="preserve">410</w:t>
      </w:r>
    </w:p>
    <w:p>
      <w:pPr>
        <w:bidi/>
      </w:pPr>
      <w:r>
        <w:rPr>
          <w:rtl/>
        </w:rPr>
        <w:t xml:space="preserve">[السنة السادسة والثلاثون - مجلة جامعة الإمارات]</w:t>
      </w:r>
    </w:p>
    <w:p>
      <w:pPr>
        <w:bidi/>
      </w:pPr>
      <w:r>
        <w:rPr>
          <w:rtl/>
        </w:rPr>
        <w:t xml:space="preserve">https://scholarworks.uaeu.ac.ae/sharia_and_law/vol2022/iss91/7</w:t>
      </w:r>
    </w:p>
    <w:p>
      <w:pPr>
        <w:bidi/>
      </w:pPr>
      <w:r>
        <w:rPr>
          <w:rtl/>
        </w:rPr>
        <w:t xml:space="preserve">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40"/>
    <w:bookmarkStart w:id="45"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bidi/>
      </w:pPr>
      <w:r>
        <w:rPr>
          <w:rtl/>
        </w:rPr>
        <w:t xml:space="preserve">المبحث الأول: مفهوم غلق الرهن في القانونين الإنجليزي والمقارن</w:t>
      </w:r>
    </w:p>
    <w:p>
      <w:pPr>
        <w:bidi/>
      </w:pPr>
      <w:r>
        <w:rPr>
          <w:rtl/>
        </w:rPr>
        <w:t xml:space="preserve">المبحث الثاني: موقف الفقه الإسلامي من غلق الرهن ومدى تأثر القوانين المقارنة به</w:t>
      </w:r>
    </w:p>
    <w:p>
      <w:pPr>
        <w:bidi/>
      </w:pPr>
      <w:r>
        <w:rPr>
          <w:rtl/>
        </w:rPr>
        <w:t xml:space="preserve">المبحث الثالث: الآثار القانونية المترتبة على غلق الرهن في القانونين الإنجليزي والمقارن</w:t>
      </w:r>
    </w:p>
    <w:bookmarkStart w:id="41" w:name="المبحث-الأول"/>
    <w:p>
      <w:pPr>
        <w:pStyle w:val="Heading3"/>
        <w:bidi/>
      </w:pPr>
      <w:r>
        <w:rPr>
          <w:rtl/>
        </w:rPr>
        <w:t xml:space="preserve">المبحث الأول</w:t>
      </w:r>
    </w:p>
    <w:bookmarkEnd w:id="41"/>
    <w:bookmarkStart w:id="44"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Start w:id="42" w:name="المطلب-الأول"/>
    <w:p>
      <w:pPr>
        <w:pStyle w:val="Heading4"/>
        <w:bidi/>
      </w:pPr>
      <w:r>
        <w:rPr>
          <w:rtl/>
        </w:rPr>
        <w:t xml:space="preserve">المطلب الأول</w:t>
      </w:r>
    </w:p>
    <w:bookmarkEnd w:id="42"/>
    <w:bookmarkStart w:id="43" w:name="X9f8c29f36b6ab9b36be003e8522e0e8598d66a1"/>
    <w:p>
      <w:pPr>
        <w:pStyle w:val="Heading4"/>
        <w:bidi/>
      </w:pPr>
      <w:r>
        <w:rPr>
          <w:rtl/>
        </w:rPr>
        <w:t xml:space="preserve">تعریف غلق الرهن في القانونين الإنجليزي والمقارن</w:t>
      </w:r>
    </w:p>
    <w:p>
      <w:pPr>
        <w:bidi/>
      </w:pPr>
      <w:r>
        <w:rPr>
          <w:rtl/>
        </w:rPr>
        <w:t xml:space="preserve">عرف جانب من الفقه الإنجليزي (1) غلق الرهن (Foreclosure) بأنه المعالجة الأكثر</w:t>
      </w:r>
    </w:p>
    <w:p>
      <w:pPr>
        <w:bidi/>
      </w:pPr>
      <w:r>
        <w:rPr>
          <w:rtl/>
        </w:rPr>
        <w:t xml:space="preserve">(1) Daniel F. Hinkel. Practical Real Estate Law. Fifth Edition. West Legal Studies. New York. 2008. P.288.</w:t>
      </w:r>
    </w:p>
    <w:p>
      <w:pPr>
        <w:bidi/>
      </w:pPr>
      <w:r>
        <w:rPr>
          <w:rtl/>
        </w:rPr>
        <w:t xml:space="preserve">411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43"/>
    <w:bookmarkEnd w:id="44"/>
    <w:bookmarkEnd w:id="45"/>
    <w:bookmarkEnd w:id="46"/>
    <w:bookmarkStart w:id="48" w:name="X477e3f383a595b8d9f7419020b831c0f38adc4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 وعرف أيضاً (۳) بأنه وضع حد لحق المدين الراهن في فك الرهن (Right to Redeem)،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r>
        <w:pict>
          <v:rect style="width:0;height:1.5pt" o:hralign="center" o:hrstd="t" o:hr="t"/>
        </w:pict>
      </w:r>
    </w:p>
    <w:p>
      <w:pPr>
        <w:pStyle w:val="FirstParagraph"/>
      </w:pPr>
      <w:r>
        <w:t xml:space="preserve">(2) Rojer J. Smith. Introduction to land Law. Longman Pearson Education Limited. 2007. P.275.</w:t>
      </w:r>
    </w:p>
    <w:p>
      <w:pPr>
        <w:pStyle w:val="BodyText"/>
      </w:pPr>
      <w:r>
        <w:t xml:space="preserve">(3) James Karp &amp; Elliot Klayman. Real Estate Law. Fifth Edition. Dearborn Financial Publishing Inc. 2003.P.462.</w:t>
      </w:r>
    </w:p>
    <w:p>
      <w:pPr>
        <w:pStyle w:val="BodyText"/>
      </w:pPr>
      <w:r>
        <w:t xml:space="preserve">(4) Chris Davies. Property Law Guidebook. Second Edition. Oxford University Press. 2015. P.112.</w:t>
      </w:r>
    </w:p>
    <w:p>
      <w:pPr>
        <w:pStyle w:val="BodyText"/>
      </w:pPr>
      <w:r>
        <w:t xml:space="preserve">(5) Douglas Wood. Law and the Built Environment. First Edition. MACMILLAN PRESS LTD.London. 1999. P.137.</w:t>
      </w:r>
    </w:p>
    <w:p>
      <w:pPr>
        <w:pStyle w:val="BodyText"/>
      </w:pPr>
      <w:r>
        <w:t xml:space="preserve">(6) Kevin Gray &amp; Susan Francis Gray. Land Law. Seventh Edition. Oxford University Press.</w:t>
      </w:r>
    </w:p>
    <w:p>
      <w:pPr>
        <w:bidi/>
      </w:pPr>
      <w:r>
        <w:rPr>
          <w:rtl/>
        </w:rPr>
        <w:t xml:space="preserve">https://scholarworks.uaeu.ac.ae/sharia_and_law/vol2022/iss91/7</w:t>
      </w:r>
    </w:p>
    <w:p>
      <w:pPr>
        <w:bidi/>
      </w:pPr>
      <w:r>
        <w:rPr>
          <w:rtl/>
        </w:rPr>
        <w:t xml:space="preserve">6</w:t>
      </w:r>
    </w:p>
    <w:p>
      <w:pPr>
        <w:bidi/>
      </w:pPr>
      <w:r>
        <w:rPr>
          <w:rtl/>
        </w:rPr>
        <w:t xml:space="preserve">412</w:t>
      </w:r>
      <w:r>
        <w:rPr>
          <w:rtl/>
        </w:rPr>
        <w:t xml:space="preserve"> </w:t>
      </w:r>
      <w:r>
        <w:rPr>
          <w:rtl/>
        </w:rPr>
        <w:t xml:space="preserve">[ السنة السادسة والثلاثون - مجلة جامعة الإمارات ]</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w:t>
      </w:r>
      <w:r>
        <w:rPr>
          <w:rtl/>
        </w:rPr>
        <w:t xml:space="preserve"> </w:t>
      </w:r>
      <w:r>
        <w:rPr>
          <w:rtl/>
        </w:rPr>
        <w:t xml:space="preserve">أيضاً أن حق الدائن المرتهن في غلق الرهن (Right to Foreclosure) لا يسري مفعوله، إلا</w:t>
      </w:r>
      <w:r>
        <w:rPr>
          <w:rtl/>
        </w:rPr>
        <w:t xml:space="preserve"> </w:t>
      </w:r>
      <w:r>
        <w:rPr>
          <w:rtl/>
        </w:rPr>
        <w:t xml:space="preserve">بعد مضي المدة المخصصة للمدين الراهن في ممارسة حقه في فك الرهن، والمحددة بتاريخ</w:t>
      </w:r>
      <w:r>
        <w:rPr>
          <w:rtl/>
        </w:rPr>
        <w:t xml:space="preserve"> </w:t>
      </w:r>
      <w:r>
        <w:rPr>
          <w:rtl/>
        </w:rPr>
        <w:t xml:space="preserve">تعاقدي (Contractual Date). وقد جرت العادة لدى المحاكم الإنجليزية على منح المدين</w:t>
      </w:r>
      <w:r>
        <w:rPr>
          <w:rtl/>
        </w:rPr>
        <w:t xml:space="preserve"> </w:t>
      </w:r>
      <w:r>
        <w:rPr>
          <w:rtl/>
        </w:rPr>
        <w:t xml:space="preserve">الراهن (Mortgagor) مدة ستة أشهر للوفاء بالدين المضمون، فإذا انتهت هذه المدة من دون</w:t>
      </w:r>
      <w:r>
        <w:rPr>
          <w:rtl/>
        </w:rPr>
        <w:t xml:space="preserve"> </w:t>
      </w:r>
      <w:r>
        <w:rPr>
          <w:rtl/>
        </w:rPr>
        <w:t xml:space="preserve">أن يجري الوفاء بالدين، فإن غلق الرهن سوف يسري مفعوله لمصلحة الدائن المرتهن (۸). إلا أنه</w:t>
      </w:r>
      <w:r>
        <w:rPr>
          <w:rtl/>
        </w:rPr>
        <w:t xml:space="preserve"> </w:t>
      </w:r>
      <w:r>
        <w:rPr>
          <w:rtl/>
        </w:rPr>
        <w:t xml:space="preserve">وعلى الرغم من ذلك فإن غلق الرهن ليس بشائع الاستعمال كثيراً في ظل القانون الإنجليزي،</w:t>
      </w:r>
      <w:r>
        <w:rPr>
          <w:rtl/>
        </w:rPr>
        <w:t xml:space="preserve"> </w:t>
      </w:r>
      <w:r>
        <w:rPr>
          <w:rtl/>
        </w:rPr>
        <w:t xml:space="preserve">بسبب البطء في سير الإجراءات الخاصة به، فضلاً عن كونه باهظ الكلفة. أضف إلى ذلك سلبية</w:t>
      </w:r>
      <w:r>
        <w:rPr>
          <w:rtl/>
        </w:rPr>
        <w:t xml:space="preserve"> </w:t>
      </w:r>
      <w:r>
        <w:rPr>
          <w:rtl/>
        </w:rPr>
        <w:t xml:space="preserve">أخرى قد تشوب تطبيقه وإفادة الدائن المرتهن منه، وهي إمكانية تدخل قواعد العدالة</w:t>
      </w:r>
      <w:r>
        <w:rPr>
          <w:rtl/>
        </w:rPr>
        <w:t xml:space="preserve"> </w:t>
      </w:r>
      <w:r>
        <w:rPr>
          <w:rtl/>
        </w:rPr>
        <w:t xml:space="preserve">والإنصاف (Equity) لإعادة سريان حق المدين الراهن في فك الرهن (Right to Redeem)</w:t>
      </w:r>
      <w:r>
        <w:rPr>
          <w:rtl/>
        </w:rPr>
        <w:t xml:space="preserve"> </w:t>
      </w:r>
      <w:r>
        <w:rPr>
          <w:rtl/>
        </w:rPr>
        <w:t xml:space="preserve">مجدداً (۹). وخلاصة القول فإن غلق الرهن هو إجراء يتملك بمقتضاه الدائن المرتهن المال</w:t>
      </w:r>
      <w:r>
        <w:rPr>
          <w:rtl/>
        </w:rPr>
        <w:t xml:space="preserve"> </w:t>
      </w:r>
      <w:r>
        <w:rPr>
          <w:rtl/>
        </w:rPr>
        <w:t xml:space="preserve">المرهون، وتنتقل ملكيته إليه، كتسوية أو معالجة لتخلف المدين الراهن Mortgagor's)</w:t>
      </w:r>
      <w:r>
        <w:rPr>
          <w:rtl/>
        </w:rPr>
        <w:t xml:space="preserve"> </w:t>
      </w:r>
      <w:r>
        <w:rPr>
          <w:rtl/>
        </w:rPr>
        <w:t xml:space="preserve">(Default عن الوفاء بالدين المضمون (١٠). أما القانون المقارن المتمثل بالقوانين العراقي</w:t>
      </w:r>
      <w:r>
        <w:rPr>
          <w:rtl/>
        </w:rPr>
        <w:t xml:space="preserve"> </w:t>
      </w:r>
      <w:r>
        <w:rPr>
          <w:rtl/>
        </w:rPr>
        <w:t xml:space="preserve">والإماراتي والمصري فقد أشارت هذه القوانين إلى غلق الرهن وعدته باطلاً بمقتضى المادة</w:t>
      </w:r>
      <w:r>
        <w:rPr>
          <w:rtl/>
        </w:rPr>
        <w:t xml:space="preserve"> </w:t>
      </w:r>
      <w:r>
        <w:rPr>
          <w:rtl/>
        </w:rPr>
        <w:t xml:space="preserve">(۱۳۰۱) من القانون المدني العراقي التي نصت على أنه لا يغلق الرهن، فيقع باطلاً كل اتفاق</w:t>
      </w:r>
      <w:r>
        <w:rPr>
          <w:rtl/>
        </w:rPr>
        <w:t xml:space="preserve"> </w:t>
      </w:r>
      <w:r>
        <w:rPr>
          <w:rtl/>
        </w:rPr>
        <w:t xml:space="preserve">يجعل للمرتهن الحق عند عدم استيفاء الدين وقت حلول أجله في أن يتملك العقار المرهون</w:t>
      </w:r>
      <w:r>
        <w:rPr>
          <w:rtl/>
        </w:rPr>
        <w:t xml:space="preserve"> </w:t>
      </w:r>
      <w:r>
        <w:rPr>
          <w:rtl/>
        </w:rPr>
        <w:t xml:space="preserve">رهناً تأمينياً بالدين ، أو أي ثمن كان أو في أن يبيعه دون مراعاة الإجراءات التي فرضها القانون</w:t>
      </w:r>
      <w:r>
        <w:rPr>
          <w:rtl/>
        </w:rPr>
        <w:t xml:space="preserve"> </w:t>
      </w:r>
      <w:r>
        <w:rPr>
          <w:rtl/>
        </w:rPr>
        <w:t xml:space="preserve">حتى لو كان هذا الاتفاق قد أُبرم بعد الرهن). وبمقتضى المادة (١٤٢٠) من قانون المعاملات</w:t>
      </w:r>
    </w:p>
    <w:p>
      <w:pPr>
        <w:pStyle w:val="BodyText"/>
      </w:pPr>
      <w:r>
        <w:t xml:space="preserve">2011. P.316.</w:t>
      </w:r>
    </w:p>
    <w:p>
      <w:pPr>
        <w:numPr>
          <w:ilvl w:val="0"/>
          <w:numId w:val="1001"/>
        </w:numPr>
        <w:pStyle w:val="Compact"/>
      </w:pPr>
      <w:r>
        <w:t xml:space="preserve">Daniel F. Hinkel. op. Cit. P.288.</w:t>
      </w:r>
    </w:p>
    <w:p>
      <w:pPr>
        <w:numPr>
          <w:ilvl w:val="0"/>
          <w:numId w:val="1001"/>
        </w:numPr>
        <w:pStyle w:val="Compact"/>
      </w:pPr>
      <w:r>
        <w:t xml:space="preserve">Rojer J. Smith. Property Law. Eighth Edition. PEARSON Education Limited. London.</w:t>
      </w:r>
      <w:r>
        <w:t xml:space="preserve"> </w:t>
      </w:r>
      <w:r>
        <w:t xml:space="preserve">2014. P.592.</w:t>
      </w:r>
    </w:p>
    <w:p>
      <w:pPr>
        <w:numPr>
          <w:ilvl w:val="0"/>
          <w:numId w:val="1001"/>
        </w:numPr>
        <w:pStyle w:val="Compact"/>
      </w:pPr>
      <w:r>
        <w:t xml:space="preserve">Chris Davies. op. Cit. P.112.</w:t>
      </w:r>
    </w:p>
    <w:p>
      <w:pPr>
        <w:numPr>
          <w:ilvl w:val="0"/>
          <w:numId w:val="1001"/>
        </w:numPr>
        <w:pStyle w:val="Compact"/>
      </w:pPr>
      <w:r>
        <w:t xml:space="preserve">Steven L. Emanuel. Emanuel law outlines. Property. Ninth Edition. Wolters Kluwer.</w:t>
      </w:r>
      <w:r>
        <w:t xml:space="preserve"> </w:t>
      </w:r>
      <w:r>
        <w:t xml:space="preserve">New York.2017. P.479.</w:t>
      </w:r>
    </w:p>
    <w:p>
      <w:pPr>
        <w:bidi/>
      </w:pPr>
      <w:r>
        <w:rPr>
          <w:rtl/>
        </w:rPr>
        <w:t xml:space="preserve">413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7</w:t>
      </w:r>
    </w:p>
    <w:p>
      <w:r>
        <w:pict>
          <v:rect style="width:0;height:1.5pt" o:hralign="center" o:hrstd="t" o:hr="t"/>
        </w:pict>
      </w:r>
    </w:p>
    <w:p>
      <w:pPr>
        <w:bidi/>
      </w:pPr>
      <w:r>
        <w:rPr>
          <w:rtl/>
        </w:rPr>
        <w:t xml:space="preserve">Journal Sharia and Law, Vol. 2022, No. 91 [2022], Art. 7</w:t>
      </w:r>
    </w:p>
    <w:bookmarkStart w:id="47" w:name="Xf19045de1c45ea7db2cfb801f08638ec952fe58"/>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rPr>
        <w:t xml:space="preserve">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w:t>
      </w:r>
    </w:p>
    <w:p>
      <w:pPr>
        <w:bidi/>
      </w:pPr>
      <w:r>
        <w:rPr>
          <w:rtl/>
        </w:rPr>
        <w:t xml:space="preserve">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w:t>
      </w:r>
    </w:p>
    <w:p>
      <w:pPr>
        <w:bidi/>
      </w:pPr>
      <w:r>
        <w:rPr>
          <w:rtl/>
        </w:rPr>
        <w:t xml:space="preserve">وعرف(۱۳) جانب من فقه قانون</w:t>
      </w:r>
    </w:p>
    <w:p>
      <w:r>
        <w:pict>
          <v:rect style="width:0;height:1.5pt" o:hralign="center" o:hrstd="t" o:hr="t"/>
        </w:pict>
      </w:r>
    </w:p>
    <w:p>
      <w:pPr>
        <w:bidi/>
      </w:pPr>
      <w:r>
        <w:rPr>
          <w:rtl/>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rPr>
        <w:t xml:space="preserve">(۱۳) د. وهبة الزحيلي. العقود المسماة في قانون المعاملات المدنية الإماراتي والقانون المدني الأردني. دار الفكر للطباعة</w:t>
      </w:r>
    </w:p>
    <w:p>
      <w:pPr>
        <w:bidi/>
      </w:pPr>
      <w:r>
        <w:rPr>
          <w:rtl/>
        </w:rPr>
        <w:t xml:space="preserve">414</w:t>
      </w:r>
    </w:p>
    <w:p>
      <w:pPr>
        <w:bidi/>
      </w:pPr>
      <w:r>
        <w:rPr>
          <w:rtl/>
        </w:rPr>
        <w:t xml:space="preserve">[السنة السادسة والثلاثون- مجلة جامعة الإمارات ]</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 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r>
        <w:pict>
          <v:rect style="width:0;height:1.5pt" o:hralign="center" o:hrstd="t" o:hr="t"/>
        </w:pict>
      </w:r>
    </w:p>
    <w:p>
      <w:pPr>
        <w:bidi/>
      </w:pPr>
      <w:r>
        <w:rPr>
          <w:rtl/>
        </w:rPr>
        <w:t xml:space="preserve">والتوزيع والنشر دمشق الطبعة الأولى. ١٩٨٧ . ص ٣٥٢.</w:t>
      </w:r>
    </w:p>
    <w:p>
      <w:pPr>
        <w:numPr>
          <w:ilvl w:val="0"/>
          <w:numId w:val="1002"/>
        </w:numPr>
        <w:pStyle w:val="Compact"/>
        <w:bidi/>
      </w:pPr>
      <w:r>
        <w:rPr>
          <w:rtl/>
        </w:rPr>
        <w:t xml:space="preserve">محمد طه البشير ود.غني حسون طه. الحقوق العينية. الجزء الثاني. الحقوق العينية التبعية. وزارة التعليم العالي. بغداد. ۱۹۸۲، ص ٤٢٩ و ٤٣١.</w:t>
      </w:r>
    </w:p>
    <w:p>
      <w:pPr>
        <w:numPr>
          <w:ilvl w:val="0"/>
          <w:numId w:val="1002"/>
        </w:numPr>
        <w:pStyle w:val="Compact"/>
        <w:bidi/>
      </w:pPr>
      <w:r>
        <w:rPr>
          <w:rtl/>
        </w:rPr>
        <w:t xml:space="preserve">د. وهبة الزحيلي. مصدر سابق. ص ٣٥٣.</w:t>
      </w:r>
    </w:p>
    <w:p>
      <w:pPr>
        <w:numPr>
          <w:ilvl w:val="0"/>
          <w:numId w:val="1002"/>
        </w:numPr>
        <w:pStyle w:val="Compact"/>
        <w:bidi/>
      </w:pPr>
      <w:r>
        <w:rPr>
          <w:rtl/>
        </w:rPr>
        <w:t xml:space="preserve">د. عبد الرزاق أحمد السنهوري. الوسيط في شرح القانون المدني. ج ۱۰ . مصدر سابق. ص ٣٣٢ و ٣٣٤.</w:t>
      </w:r>
    </w:p>
    <w:p>
      <w:pPr>
        <w:numPr>
          <w:ilvl w:val="0"/>
          <w:numId w:val="1002"/>
        </w:numPr>
        <w:pStyle w:val="Compact"/>
        <w:bidi/>
      </w:pPr>
      <w:r>
        <w:rPr>
          <w:rtl/>
        </w:rPr>
        <w:t xml:space="preserve">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9</w:t>
      </w:r>
    </w:p>
    <w:p>
      <w:r>
        <w:pict>
          <v:rect style="width:0;height:1.5pt" o:hralign="center" o:hrstd="t" o:hr="t"/>
        </w:pict>
      </w:r>
    </w:p>
    <w:p>
      <w:pPr>
        <w:pStyle w:val="FirstParagraph"/>
      </w:pPr>
      <w:r>
        <w:t xml:space="preserve">Journal Sharia and Law, Vol. 2022, No. 91 [2022], Art. 7</w:t>
      </w:r>
    </w:p>
    <w:bookmarkEnd w:id="47"/>
    <w:bookmarkEnd w:id="48"/>
    <w:bookmarkStart w:id="51" w:name="X937002687b19b160b4b3ce6425621ccef188401"/>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3"/>
        </w:numPr>
        <w:bidi/>
      </w:pPr>
      <w:r>
        <w:rPr>
          <w:rtl/>
        </w:rPr>
        <w:t xml:space="preserve">(۱۸) محمد بن علي بن محمد الشوكاني. نيل الأوطار شرح منتقى الأخبار بيت الأفكار الدولية. لبنان. ٢٠٠٤. ص ۱۰۳۷.</w:t>
      </w:r>
    </w:p>
    <w:p>
      <w:pPr>
        <w:numPr>
          <w:ilvl w:val="0"/>
          <w:numId w:val="1003"/>
        </w:numPr>
        <w:bidi/>
      </w:pPr>
      <w:r>
        <w:rPr>
          <w:rtl/>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3"/>
        </w:numPr>
        <w:bidi/>
      </w:pPr>
      <w:r>
        <w:rPr>
          <w:rtl/>
        </w:rPr>
        <w:t xml:space="preserve">(۲۰) د. عصمت عبد المجيد بكر. الوجيز في العقود المدنية المسماة الرهن منشورات زين الحقوقية. بيروت لبنان. ۲۰۱۹. ص۲۲۸.</w:t>
      </w:r>
    </w:p>
    <w:p>
      <w:pPr>
        <w:numPr>
          <w:ilvl w:val="0"/>
          <w:numId w:val="1003"/>
        </w:numPr>
        <w:bidi/>
      </w:pPr>
      <w:r>
        <w:rPr>
          <w:rtl/>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rPr>
        <w:t xml:space="preserve">السنة السادسة والثلاثون - مجلة جامعة الإمارات</w:t>
      </w:r>
    </w:p>
    <w:p>
      <w:pPr>
        <w:bidi/>
      </w:pPr>
      <w:r>
        <w:rPr>
          <w:rtl/>
        </w:rPr>
        <w:t xml:space="preserve">416</w:t>
      </w:r>
    </w:p>
    <w:p>
      <w:pPr>
        <w:pStyle w:val="BodyText"/>
      </w:pPr>
      <w:r>
        <w:t xml:space="preserve">https://scholarworks.uaeu.ac.ae/sharia_and_law/vol2022/iss91/7</w:t>
      </w:r>
    </w:p>
    <w:p>
      <w:pPr>
        <w:pStyle w:val="BodyText"/>
      </w:pPr>
      <w: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Start w:id="50" w:name="المطلب-الثاني"/>
    <w:p>
      <w:pPr>
        <w:pStyle w:val="Heading2"/>
        <w:bidi/>
      </w:pPr>
      <w:r>
        <w:rPr>
          <w:rtl/>
        </w:rPr>
        <w:t xml:space="preserve">المطلب الثاني</w:t>
      </w:r>
    </w:p>
    <w:bookmarkStart w:id="49"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w:t>
      </w:r>
      <m:oMath>
        <m:r>
          <m:t>22</m:t>
        </m:r>
      </m:oMath>
      <w:r>
        <w:rPr>
          <w:rtl/>
        </w:rPr>
        <w:t xml:space="preserve">)، أو هو المعالجة الأكثر قسوة أو صرامة (Draconian Remedy) في حالة تخلف المدين الراهن عن الوفاء بالدين المضمون بالرهن (</w:t>
      </w:r>
      <m:oMath>
        <m:r>
          <m:t>23</m:t>
        </m:r>
      </m:oMath>
      <w:r>
        <w:rPr>
          <w:rtl/>
        </w:rPr>
        <w:t xml:space="preserve">) .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w:t>
      </w:r>
      <m:oMath>
        <m:r>
          <m:t>24</m:t>
        </m:r>
      </m:oMath>
      <w:r>
        <w:rPr>
          <w:rtl/>
        </w:rPr>
        <w:t xml:space="preserve">).</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w:t>
      </w:r>
      <m:oMath>
        <m:r>
          <m:t>25</m:t>
        </m:r>
      </m:oMath>
      <w:r>
        <w:rPr>
          <w:rtl/>
        </w:rPr>
        <w:t xml:space="preserve">)، ويضع العقار المرهون (Mortgaged Land) بكل قيمته في يد الدائن المرتهن (</w:t>
      </w:r>
      <m:oMath>
        <m:r>
          <m:t>26</m:t>
        </m:r>
      </m:oMath>
      <w:r>
        <w:rPr>
          <w:rtl/>
        </w:rPr>
        <w:t xml:space="preserve">)، وبصرف النظر عن مقدار الدين الموثق بالرهن، ولا يترك للمدين الراهن أي حق في المطالبة بالفرق بين قيمة العقار المرهون والدين المضمون بالرهن (</w:t>
      </w:r>
      <m:oMath>
        <m:r>
          <m:t>27</m:t>
        </m:r>
      </m:oMath>
      <w:r>
        <w:rPr>
          <w:rtl/>
        </w:rPr>
        <w:t xml:space="preserve">) . وبسبب طبيعته (Drastic Remedy) فقد وضعته الفقرة الثانية من المادتين (</w:t>
      </w:r>
      <m:oMath>
        <m:r>
          <m:t>88</m:t>
        </m:r>
      </m:oMath>
      <w:r>
        <w:rPr>
          <w:rtl/>
        </w:rPr>
        <w:t xml:space="preserve">) و (</w:t>
      </w:r>
      <m:oMath>
        <m:r>
          <m:t>89</m:t>
        </m:r>
      </m:oMath>
      <w:r>
        <w:rPr>
          <w:rtl/>
        </w:rPr>
        <w:t xml:space="preserve">) من تشريع قانون الملكية لعام</w:t>
      </w:r>
      <w:r>
        <w:rPr>
          <w:rtl/>
        </w:rPr>
        <w:t xml:space="preserve"> </w:t>
      </w:r>
      <m:oMath>
        <m:r>
          <m:t>1925</m:t>
        </m:r>
      </m:oMath>
      <w:r>
        <w:rPr>
          <w:rtl/>
        </w:rPr>
        <w:t xml:space="preserve"> </w:t>
      </w:r>
      <w:r>
        <w:rPr>
          <w:rtl/>
        </w:rPr>
        <w:t xml:space="preserve">(The Law of Property Act 1925) تحت السلطة</w:t>
      </w:r>
    </w:p>
    <w:p>
      <w:r>
        <w:pict>
          <v:rect style="width:0;height:1.5pt" o:hralign="center" o:hrstd="t" o:hr="t"/>
        </w:pict>
      </w:r>
    </w:p>
    <w:p>
      <w:pPr>
        <w:pStyle w:val="FirstParagraph"/>
      </w:pPr>
      <w:r>
        <w:t xml:space="preserve">(22) Daniel F. Hinkel. op. Cit. P.288.</w:t>
      </w:r>
    </w:p>
    <w:p>
      <w:pPr>
        <w:pStyle w:val="BodyText"/>
      </w:pPr>
      <w:r>
        <w:t xml:space="preserve">(23) Diane Chappelle. Land Law. Eighth Edition. Pearson Education Limited Longman. 2008. P.362.</w:t>
      </w:r>
    </w:p>
    <w:p>
      <w:pPr>
        <w:pStyle w:val="BodyText"/>
      </w:pPr>
      <w:r>
        <w:t xml:space="preserve">(24) Louise Tee. Land Law. Issues Debates Policy.Routledge Taylor &amp; Francis Group. London. 2014. P.173.</w:t>
      </w:r>
    </w:p>
    <w:p>
      <w:pPr>
        <w:pStyle w:val="BodyText"/>
      </w:pPr>
      <w:r>
        <w:t xml:space="preserve">(25) Martin Dixon. Modern Land Law. seventh Edition. Routledge Taylor &amp; Francis Group. London and New York. 2010 P.422.</w:t>
      </w:r>
    </w:p>
    <w:p>
      <w:pPr>
        <w:pStyle w:val="BodyText"/>
      </w:pPr>
      <w:r>
        <w:t xml:space="preserve">(26) Kevin Gray &amp; Susan Francis Gray. op. Cit. P.316.</w:t>
      </w:r>
    </w:p>
    <w:p>
      <w:pPr>
        <w:pStyle w:val="BodyText"/>
      </w:pPr>
      <w:r>
        <w:t xml:space="preserve">(27) John Duddington. Land Law. Third Edition. Longman Pearson Education Limited. London. 2011. P.180.</w:t>
      </w:r>
    </w:p>
    <w:p>
      <w:pPr>
        <w:bidi/>
      </w:pPr>
      <w:r>
        <w:rPr>
          <w:rtl/>
        </w:rPr>
        <w:t xml:space="preserve">417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49"/>
    <w:bookmarkEnd w:id="50"/>
    <w:bookmarkEnd w:id="51"/>
    <w:bookmarkStart w:id="53"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التقديرية للمحكمة الإنجليزية.</w:t>
      </w:r>
    </w:p>
    <w:p>
      <w:pPr>
        <w:bidi/>
      </w:pPr>
      <w:r>
        <w:rPr>
          <w:rtl/>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w:t>
      </w:r>
    </w:p>
    <w:p>
      <w:pPr>
        <w:bidi/>
      </w:pPr>
      <w:r>
        <w:rPr>
          <w:rtl/>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numPr>
          <w:ilvl w:val="0"/>
          <w:numId w:val="1004"/>
        </w:numPr>
        <w:pStyle w:val="Compact"/>
        <w:bidi/>
      </w:pPr>
      <w:r>
        <w:rPr>
          <w:rtl/>
        </w:rPr>
        <w:t xml:space="preserve">(۲۸) د. حسان عبد الغني الخطيب. القانون العام. منشورات زين الحقوقية بيروت، لبنان. ٢٠١٢. ص٢١٦.</w:t>
      </w:r>
    </w:p>
    <w:p>
      <w:pPr>
        <w:numPr>
          <w:ilvl w:val="0"/>
          <w:numId w:val="1004"/>
        </w:numPr>
        <w:pStyle w:val="Compact"/>
        <w:bidi/>
      </w:pPr>
      <w:r>
        <w:rPr>
          <w:rtl/>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4"/>
        </w:numPr>
        <w:pStyle w:val="Compact"/>
        <w:bidi/>
      </w:pPr>
      <w:r>
        <w:rPr>
          <w:rtl/>
        </w:rPr>
        <w:t xml:space="preserve">(30) Kate Green. Land Law. Third Edition. MACMILLAN LAW MASTERS. 1997. P.88.</w:t>
      </w:r>
    </w:p>
    <w:p>
      <w:pPr>
        <w:numPr>
          <w:ilvl w:val="0"/>
          <w:numId w:val="1004"/>
        </w:numPr>
        <w:pStyle w:val="Compact"/>
        <w:bidi/>
      </w:pPr>
      <w:r>
        <w:rPr>
          <w:rtl/>
        </w:rPr>
        <w:t xml:space="preserve">(31) Alison Clarke ،Paul Kohler. Property law commentary and Materials. First Edition. Cambridge University Press. 2005. P.666.</w:t>
      </w:r>
    </w:p>
    <w:p>
      <w:pPr>
        <w:numPr>
          <w:ilvl w:val="0"/>
          <w:numId w:val="1004"/>
        </w:numPr>
        <w:pStyle w:val="Compact"/>
        <w:bidi/>
      </w:pPr>
      <w:r>
        <w:rPr>
          <w:rtl/>
        </w:rPr>
        <w:t xml:space="preserve">(32) Ben McFarlane ،Nicholas Hopkins and Sarah Nield. Land Law Text cases and Materials. Oxford University Press. Second Edition. 2012. P.1108.</w:t>
      </w:r>
    </w:p>
    <w:p>
      <w:pPr>
        <w:bidi/>
      </w:pPr>
      <w:r>
        <w:rPr>
          <w:rtl/>
        </w:rPr>
        <w:t xml:space="preserve">السنة السادسة والثلاثون - مجلة جامعة الإمارات ] 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p>
      <w:pPr>
        <w:bidi/>
      </w:pPr>
      <w:r>
        <w:rPr>
          <w:rtl/>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 .</w:t>
      </w:r>
    </w:p>
    <w:p>
      <w:pPr>
        <w:bidi/>
      </w:pPr>
      <w:r>
        <w:rPr>
          <w:rtl/>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t xml:space="preserve">(33) Peter Sparkes. A New Land Law. Second Edition. Hart Publishing. Portland ،Oregon. 2003. P.646.</w:t>
      </w:r>
    </w:p>
    <w:p>
      <w:pPr>
        <w:pStyle w:val="BodyText"/>
      </w:pPr>
      <w:r>
        <w:t xml:space="preserve">(34) E. H Burn and J. Cartwright. Cheshire and Burn's Modern law of Real Property. Eighteenth Edition. Oxford University Press. 2011.P.864.</w:t>
      </w:r>
    </w:p>
    <w:p>
      <w:pPr>
        <w:pStyle w:val="BodyText"/>
      </w:pPr>
      <w:r>
        <w:t xml:space="preserve">(35) Elizabeth Cooke. The New Law of Land Registration. Hart Publishing. 2003. P.34.</w:t>
      </w:r>
    </w:p>
    <w:p>
      <w:pPr>
        <w:pStyle w:val="BodyText"/>
      </w:pPr>
      <w:r>
        <w:t xml:space="preserve">(36) Kevin Gray &amp; Susan Francis Gray. op. Cit. P.316.</w:t>
      </w:r>
    </w:p>
    <w:p>
      <w:pPr>
        <w:bidi/>
      </w:pPr>
      <w:r>
        <w:rPr>
          <w:rtl/>
        </w:rPr>
        <w:t xml:space="preserve">419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13</w:t>
      </w:r>
    </w:p>
    <w:p>
      <w:r>
        <w:pict>
          <v:rect style="width:0;height:1.5pt" o:hralign="center" o:hrstd="t" o:hr="t"/>
        </w:pict>
      </w:r>
    </w:p>
    <w:p>
      <w:pPr>
        <w:bidi/>
      </w:pPr>
      <w:r>
        <w:rPr>
          <w:rtl/>
        </w:rPr>
        <w:t xml:space="preserve">Journal Sharia and Law, Vol. 2022, No. 91 [2022], Art. 7</w:t>
      </w:r>
    </w:p>
    <w:bookmarkStart w:id="52" w:name="X0ce96358fbe4018a4e88d7357003e42c16ddeb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(Courts of Equity)(۳۷).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p>
      <w:pPr>
        <w:bidi/>
      </w:pPr>
      <w:r>
        <w:rPr>
          <w:rtl/>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١٩٥٤. ص ٥١٠.</w:t>
      </w:r>
    </w:p>
    <w:p>
      <w:pPr>
        <w:bidi/>
      </w:pPr>
      <w:r>
        <w:rPr>
          <w:rtl/>
        </w:rPr>
        <w:t xml:space="preserve">(39) E. H Burn and J. Cartwright. ibid.P.862.</w:t>
      </w:r>
    </w:p>
    <w:p>
      <w:pPr>
        <w:bidi/>
      </w:pPr>
      <w:r>
        <w:rPr>
          <w:rtl/>
        </w:rPr>
        <w:t xml:space="preserve">(40) Daniel F. Hinkel. Practical Real Estate Law. Fifth Edition. West Legal Studies. New York. 2008. P.289.</w:t>
      </w:r>
    </w:p>
    <w:p>
      <w:pPr>
        <w:bidi/>
      </w:pPr>
      <w:r>
        <w:rPr>
          <w:rtl/>
        </w:rPr>
        <w:t xml:space="preserve">[السنة السادسة والثلاثون - مجلة جامعة الإمارات ] 420</w:t>
      </w:r>
    </w:p>
    <w:p>
      <w:pPr>
        <w:bidi/>
      </w:pPr>
      <w:r>
        <w:rPr>
          <w:rtl/>
        </w:rPr>
        <w:t xml:space="preserve">https://scholarworks.uaeu.ac.ae/sharia_and_law/vol2022/iss91/7</w:t>
      </w:r>
    </w:p>
    <w:p>
      <w:pPr>
        <w:bidi/>
      </w:pPr>
      <w:r>
        <w:rPr>
          <w:rtl/>
        </w:rPr>
        <w:t xml:space="preserve">14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t xml:space="preserve">(41) Daniel F. Hinkel. ibid. P.289.</w:t>
      </w:r>
    </w:p>
    <w:p>
      <w:pPr>
        <w:pStyle w:val="BodyText"/>
      </w:pPr>
      <w: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pPr>
        <w:bidi/>
      </w:pPr>
      <w:r>
        <w:rPr>
          <w:rtl/>
        </w:rPr>
        <w:t xml:space="preserve">421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15</w:t>
      </w:r>
    </w:p>
    <w:p>
      <w:r>
        <w:pict>
          <v:rect style="width:0;height:1.5pt" o:hralign="center" o:hrstd="t" o:hr="t"/>
        </w:pict>
      </w:r>
    </w:p>
    <w:p>
      <w:pPr>
        <w:bidi/>
      </w:pPr>
      <w:r>
        <w:rPr>
          <w:rtl/>
        </w:rPr>
        <w:t xml:space="preserve">Journal Sharia and Law, Vol. 2022, No. 91 [2022], Art. 7</w:t>
      </w:r>
    </w:p>
    <w:bookmarkEnd w:id="52"/>
    <w:bookmarkEnd w:id="53"/>
    <w:bookmarkStart w:id="59"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w:t>
      </w:r>
      <w:r>
        <w:rPr>
          <w:rtl/>
        </w:rPr>
        <w:t xml:space="preserve"> </w:t>
      </w:r>
      <w:r>
        <w:rPr>
          <w:rtl/>
        </w:rPr>
        <w:t xml:space="preserve">على العقار المرهون، لاحتفاظ المدين بجميع عناصر الملكية أثناء سريان الرهن(٤٥). فالشرط</w:t>
      </w:r>
      <w:r>
        <w:rPr>
          <w:rtl/>
        </w:rPr>
        <w:t xml:space="preserve"> </w:t>
      </w:r>
      <w:r>
        <w:rPr>
          <w:rtl/>
        </w:rPr>
        <w:t xml:space="preserve">الذي يقترن به العقد إما أن يكون من مقتضاه ولا ينافي الغرض منه فهو شرط صحيح.</w:t>
      </w:r>
      <w:r>
        <w:rPr>
          <w:rtl/>
        </w:rPr>
        <w:t xml:space="preserve"> </w:t>
      </w:r>
      <w:r>
        <w:rPr>
          <w:rtl/>
        </w:rPr>
        <w:t xml:space="preserve">كاشتراط الراهن والمرتهن أن يكون الرهن في يد عدل يرتضيانه (٤٦) ، أو أن يكون منافياً لمقتضى</w:t>
      </w:r>
      <w:r>
        <w:rPr>
          <w:rtl/>
        </w:rPr>
        <w:t xml:space="preserve"> </w:t>
      </w:r>
      <w:r>
        <w:rPr>
          <w:rtl/>
        </w:rPr>
        <w:t xml:space="preserve">الرهن، كاشتراط أن يكون الرهن ملكاً للمرتهن عند حلول الأجل وعدم الوفاء، فيصح العقد</w:t>
      </w:r>
      <w:r>
        <w:rPr>
          <w:rtl/>
        </w:rPr>
        <w:t xml:space="preserve"> </w:t>
      </w:r>
      <w:r>
        <w:rPr>
          <w:rtl/>
        </w:rPr>
        <w:t xml:space="preserve">ويلغى الشرط، مالم يكن الشرط هو الدافع إلى التعاقد فيبطل العقد أيضاً.</w:t>
      </w:r>
    </w:p>
    <w:bookmarkStart w:id="54" w:name="تاسعا"/>
    <w:p>
      <w:pPr>
        <w:pStyle w:val="Heading3"/>
        <w:bidi/>
      </w:pPr>
      <w:r>
        <w:rPr>
          <w:rtl/>
        </w:rPr>
        <w:t xml:space="preserve">تاسعاً:</w:t>
      </w:r>
    </w:p>
    <w:p>
      <w:pPr>
        <w:bidi/>
      </w:pPr>
      <w:r>
        <w:rPr>
          <w:rtl/>
        </w:rPr>
        <w:t xml:space="preserve">ويتسم غلق الرهن في القوانين العراقي والإماراتي والمصري ببطلانه وعدم ترتيبه</w:t>
      </w:r>
      <w:r>
        <w:rPr>
          <w:rtl/>
        </w:rPr>
        <w:t xml:space="preserve"> </w:t>
      </w:r>
      <w:r>
        <w:rPr>
          <w:rtl/>
        </w:rPr>
        <w:t xml:space="preserve">لأي أثر قانوني، جرياً على عادة الفقه الإسلامي وتأثراً به. وبسبب مخالفته للنظام العام، ولحماية</w:t>
      </w:r>
      <w:r>
        <w:rPr>
          <w:rtl/>
        </w:rPr>
        <w:t xml:space="preserve"> </w:t>
      </w:r>
      <w:r>
        <w:rPr>
          <w:rtl/>
        </w:rPr>
        <w:t xml:space="preserve">المدين الراهن من جشع واستغلال الدائن المرتهن(٤٧).</w:t>
      </w:r>
    </w:p>
    <w:bookmarkEnd w:id="54"/>
    <w:bookmarkStart w:id="55" w:name="عاشرا"/>
    <w:p>
      <w:pPr>
        <w:pStyle w:val="Heading3"/>
        <w:bidi/>
      </w:pPr>
      <w:r>
        <w:rPr>
          <w:rtl/>
        </w:rPr>
        <w:t xml:space="preserve">عاشراً:</w:t>
      </w:r>
    </w:p>
    <w:p>
      <w:pPr>
        <w:bidi/>
      </w:pPr>
      <w:r>
        <w:rPr>
          <w:rtl/>
        </w:rPr>
        <w:t xml:space="preserve">إلا أن شرط غلق الرهن يتسم بصحته ونفاذه في القانون المدني المصري إذا تم</w:t>
      </w:r>
      <w:r>
        <w:rPr>
          <w:rtl/>
        </w:rPr>
        <w:t xml:space="preserve"> </w:t>
      </w:r>
      <w:r>
        <w:rPr>
          <w:rtl/>
        </w:rPr>
        <w:t xml:space="preserve">الاتفاق على نزول المدين لدائنه عن العقار المرهون وفاء لدينه بعد حلول الدين أو قسط منه،</w:t>
      </w:r>
      <w:r>
        <w:rPr>
          <w:rtl/>
        </w:rPr>
        <w:t xml:space="preserve"> </w:t>
      </w:r>
      <w:r>
        <w:rPr>
          <w:rtl/>
        </w:rPr>
        <w:t xml:space="preserve">استثناءً من القاعدة العامة المبطلة لغلق الرهن.</w:t>
      </w:r>
    </w:p>
    <w:bookmarkEnd w:id="55"/>
    <w:bookmarkStart w:id="56" w:name="أحد-عشر"/>
    <w:p>
      <w:pPr>
        <w:pStyle w:val="Heading3"/>
        <w:bidi/>
      </w:pPr>
      <w:r>
        <w:rPr>
          <w:rtl/>
        </w:rPr>
        <w:t xml:space="preserve">أحد عشر :</w:t>
      </w:r>
    </w:p>
    <w:p>
      <w:pPr>
        <w:bidi/>
      </w:pPr>
      <w:r>
        <w:rPr>
          <w:rtl/>
        </w:rPr>
        <w:t xml:space="preserve">ويتسم غلق الرهن في القوانين العراقي والإماراتي والمصري من حيث وقت</w:t>
      </w:r>
      <w:r>
        <w:rPr>
          <w:rtl/>
        </w:rPr>
        <w:t xml:space="preserve"> </w:t>
      </w:r>
      <w:r>
        <w:rPr>
          <w:rtl/>
        </w:rPr>
        <w:t xml:space="preserve">الاتفاق عليه، بأنه يتخذ ثلاث صور ) (٤٨) هي : الأولى شرط تملك المال المرهون عند عدم الوفاء،</w:t>
      </w:r>
    </w:p>
    <w:p>
      <w:pPr>
        <w:numPr>
          <w:ilvl w:val="0"/>
          <w:numId w:val="1005"/>
        </w:numPr>
        <w:pStyle w:val="Compact"/>
        <w:bidi/>
      </w:pPr>
      <w:r>
        <w:rPr>
          <w:rtl/>
        </w:rPr>
        <w:t xml:space="preserve">(٤٤ ) د.درع حماد عبد. الحقوق العينية الأصلية. حق الملكية والحقوق المتفرعة عنها. دار السنهوري. بيروت لبنان.</w:t>
      </w:r>
      <w:r>
        <w:rPr>
          <w:rtl/>
        </w:rPr>
        <w:t xml:space="preserve"> </w:t>
      </w:r>
      <w:r>
        <w:rPr>
          <w:rtl/>
        </w:rPr>
        <w:t xml:space="preserve">۲۰۱۸. ص ١٧ . ينظر أيضاً د. طارق كاظم عجيل. الحقوق العينية الأصلية. الجزء الأول. حق الملكية. دار السنهوري.</w:t>
      </w:r>
      <w:r>
        <w:rPr>
          <w:rtl/>
        </w:rPr>
        <w:t xml:space="preserve"> </w:t>
      </w:r>
      <w:r>
        <w:rPr>
          <w:rtl/>
        </w:rPr>
        <w:t xml:space="preserve">بيروت لبنان. ۲۰۱۹. ص۱۷.</w:t>
      </w:r>
    </w:p>
    <w:p>
      <w:pPr>
        <w:numPr>
          <w:ilvl w:val="0"/>
          <w:numId w:val="1005"/>
        </w:numPr>
        <w:pStyle w:val="Compact"/>
        <w:bidi/>
      </w:pPr>
      <w:r>
        <w:rPr>
          <w:rtl/>
        </w:rPr>
        <w:t xml:space="preserve">(٤٥) د.جورج شدراوي. حق الملكية العقارية مع ملحق عن حق التصرف حق الانتفاع. الطبعة الثانية. شركة</w:t>
      </w:r>
      <w:r>
        <w:rPr>
          <w:rtl/>
        </w:rPr>
        <w:t xml:space="preserve"> </w:t>
      </w:r>
      <w:r>
        <w:rPr>
          <w:rtl/>
        </w:rPr>
        <w:t xml:space="preserve">المؤسسة الحديثة للكتاب لبنان. ۲۰۱۷. ص۸.</w:t>
      </w:r>
    </w:p>
    <w:p>
      <w:pPr>
        <w:numPr>
          <w:ilvl w:val="0"/>
          <w:numId w:val="1005"/>
        </w:numPr>
        <w:pStyle w:val="Compact"/>
        <w:bidi/>
      </w:pPr>
      <w:r>
        <w:rPr>
          <w:rtl/>
        </w:rPr>
        <w:t xml:space="preserve">(٤٦) د. الشافعي عبد الرحمن السيد عوض. عقد الرهن في الشريعة الإسلامية دراسة مقارنة. مكتبة الوفاء الإسكندرية.</w:t>
      </w:r>
      <w:r>
        <w:rPr>
          <w:rtl/>
        </w:rPr>
        <w:t xml:space="preserve"> </w:t>
      </w:r>
      <w:r>
        <w:rPr>
          <w:rtl/>
        </w:rPr>
        <w:t xml:space="preserve">٢٠١١. ص ١٤٧.</w:t>
      </w:r>
    </w:p>
    <w:p>
      <w:pPr>
        <w:numPr>
          <w:ilvl w:val="0"/>
          <w:numId w:val="1005"/>
        </w:numPr>
        <w:pStyle w:val="Compact"/>
        <w:bidi/>
      </w:pPr>
      <w:r>
        <w:rPr>
          <w:rtl/>
        </w:rPr>
        <w:t xml:space="preserve">(٤٧) محمد طه البشير ود. غني حسون طه. الحقوق العينية . ج ۲ . مصدر سابق. ص ٤٣٠ .</w:t>
      </w:r>
    </w:p>
    <w:p>
      <w:pPr>
        <w:numPr>
          <w:ilvl w:val="0"/>
          <w:numId w:val="1005"/>
        </w:numPr>
        <w:pStyle w:val="Compact"/>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422 السنة السادسة والثلاثون - مجلة جامعة الإمارات ]</w:t>
      </w:r>
    </w:p>
    <w:p>
      <w:pPr>
        <w:bidi/>
      </w:pPr>
      <w:r>
        <w:rPr>
          <w:rtl/>
        </w:rPr>
        <w:t xml:space="preserve">https://scholarworks.uaeu.ac.ae/sharia_and_law/vol2022/iss91/7</w:t>
      </w:r>
    </w:p>
    <w:p>
      <w:pPr>
        <w:bidi/>
      </w:pPr>
      <w:r>
        <w:rPr>
          <w:rtl/>
        </w:rP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(۱۳۰۱)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End w:id="56"/>
    <w:bookmarkStart w:id="58" w:name="المطلب-الثالث"/>
    <w:p>
      <w:pPr>
        <w:pStyle w:val="Heading2"/>
        <w:bidi/>
      </w:pPr>
      <w:r>
        <w:rPr>
          <w:rtl/>
        </w:rPr>
        <w:t xml:space="preserve">المطلب الثالث</w:t>
      </w:r>
    </w:p>
    <w:bookmarkStart w:id="57"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(۱۳01) من القانون المدني العراقي، و(١٤٢٠) من قانون</w:t>
      </w:r>
    </w:p>
    <w:p>
      <w:pPr>
        <w:bidi/>
      </w:pPr>
      <w:r>
        <w:rPr>
          <w:rtl/>
        </w:rPr>
        <w:t xml:space="preserve">=دراسة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[العدد الواحد والتسعون - ذو الحجة 1443 هـ يوليو 2022]</w:t>
      </w:r>
    </w:p>
    <w:p>
      <w:pPr>
        <w:bidi/>
      </w:pPr>
      <w:r>
        <w:rPr>
          <w:rtl/>
        </w:rPr>
        <w:t xml:space="preserve">423</w:t>
      </w:r>
    </w:p>
    <w:p>
      <w:pPr>
        <w:bidi/>
      </w:pPr>
      <w:r>
        <w:rPr>
          <w:rtl/>
        </w:rPr>
        <w:t xml:space="preserve">Published by Scholarworks@UAEU, 2022</w:t>
      </w:r>
    </w:p>
    <w:p>
      <w:pPr>
        <w:bidi/>
      </w:pPr>
      <w:r>
        <w:rPr>
          <w:rtl/>
        </w:rPr>
        <w:t xml:space="preserve">17</w:t>
      </w:r>
    </w:p>
    <w:p>
      <w:r>
        <w:pict>
          <v:rect style="width:0;height:1.5pt" o:hralign="center" o:hrstd="t" o:hr="t"/>
        </w:pict>
      </w:r>
    </w:p>
    <w:p>
      <w:pPr>
        <w:bidi/>
      </w:pPr>
      <w:r>
        <w:rPr>
          <w:rtl/>
        </w:rPr>
        <w:t xml:space="preserve">Journal Sharia and Law, Vol. 2022, No. 91 [2022], Art. 7</w:t>
      </w:r>
    </w:p>
    <w:bookmarkEnd w:id="57"/>
    <w:bookmarkEnd w:id="58"/>
    <w:bookmarkEnd w:id="59"/>
    <w:bookmarkStart w:id="70" w:name="X98a22b5a11b21a530e2143d130e697d154d0eba"/>
    <w:p>
      <w:pPr>
        <w:pStyle w:val="Heading1"/>
        <w:bidi/>
      </w:pPr>
      <w:r>
        <w:rPr>
          <w:rtl/>
        </w:rPr>
        <w:t xml:space="preserve">[غلق الرهن في القانون الإنجليزي دراسة تحليلية مقارنة بالفقه الإسلامي والقانون المقارن]</w:t>
      </w:r>
    </w:p>
    <w:p>
      <w:pPr>
        <w:bidi/>
      </w:pPr>
      <w:r>
        <w:rPr>
          <w:rtl/>
        </w:rPr>
        <w:t xml:space="preserve">المعاملات المدنية الاتحادي الإماراتي، والفقرة الأولى من المادة (١٠٥٢) من القانون المدني</w:t>
      </w:r>
      <w:r>
        <w:rPr>
          <w:rtl/>
        </w:rPr>
        <w:t xml:space="preserve"> </w:t>
      </w:r>
      <w:r>
        <w:rPr>
          <w:rtl/>
        </w:rPr>
        <w:t xml:space="preserve">المصري تضمنت شرطين يمثلان غلق الرهن هما : شرط الاتفاق على تملك الدائن المرتهن للمال</w:t>
      </w:r>
      <w:r>
        <w:rPr>
          <w:rtl/>
        </w:rPr>
        <w:t xml:space="preserve"> </w:t>
      </w:r>
      <w:r>
        <w:rPr>
          <w:rtl/>
        </w:rPr>
        <w:t xml:space="preserve">المرهون عند عدم الوفاء، وشرط الطريق الممهد، أو ما يعرف بشرط الاتفاق على بيع العقار</w:t>
      </w:r>
      <w:r>
        <w:rPr>
          <w:rtl/>
        </w:rPr>
        <w:t xml:space="preserve"> </w:t>
      </w:r>
      <w:r>
        <w:rPr>
          <w:rtl/>
        </w:rPr>
        <w:t xml:space="preserve">المرهون دون المرور بالإجراءات القانونية. وعلى الرغم من وجود أوجه للشبه بين شرط تملك</w:t>
      </w:r>
      <w:r>
        <w:rPr>
          <w:rtl/>
        </w:rPr>
        <w:t xml:space="preserve"> </w:t>
      </w:r>
      <w:r>
        <w:rPr>
          <w:rtl/>
        </w:rPr>
        <w:t xml:space="preserve">المال المرهون عند عدم الوفاء وشرط الطريق الممهد في بعض المسائل، إلا أن هناك أوجها</w:t>
      </w:r>
      <w:r>
        <w:rPr>
          <w:rtl/>
        </w:rPr>
        <w:t xml:space="preserve"> </w:t>
      </w:r>
      <w:r>
        <w:rPr>
          <w:rtl/>
        </w:rPr>
        <w:t xml:space="preserve">للاختلاف بينهما في مسائل أخرى، وسوف نبحث في أوجه الشبه أولاً ثم في أوجه الاختلاف</w:t>
      </w:r>
      <w:r>
        <w:rPr>
          <w:rtl/>
        </w:rPr>
        <w:t xml:space="preserve"> </w:t>
      </w:r>
      <w:r>
        <w:rPr>
          <w:rtl/>
        </w:rPr>
        <w:t xml:space="preserve">وعلى النحو الآتي:</w:t>
      </w:r>
    </w:p>
    <w:bookmarkStart w:id="61" w:name="الفرع-الأول"/>
    <w:p>
      <w:pPr>
        <w:pStyle w:val="Heading2"/>
        <w:bidi/>
      </w:pPr>
      <w:r>
        <w:rPr>
          <w:rtl/>
        </w:rPr>
        <w:t xml:space="preserve">الفرع الأول</w:t>
      </w:r>
    </w:p>
    <w:bookmarkStart w:id="60"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6"/>
        </w:numPr>
        <w:pStyle w:val="Compact"/>
        <w:bidi/>
      </w:pPr>
      <w:r>
        <w:rPr>
          <w:rtl/>
        </w:rPr>
        <w:t xml:space="preserve">أولاً: من حيث الآثار: فكلاهما مصيره البطلان ويصح عقد الرهن، مالم يكن الشرط هو</w:t>
      </w:r>
      <w:r>
        <w:rPr>
          <w:rtl/>
        </w:rPr>
        <w:t xml:space="preserve"> </w:t>
      </w:r>
      <w:r>
        <w:rPr>
          <w:rtl/>
        </w:rPr>
        <w:t xml:space="preserve">الباعث الدافع على التعاقد.</w:t>
      </w:r>
    </w:p>
    <w:p>
      <w:pPr>
        <w:numPr>
          <w:ilvl w:val="0"/>
          <w:numId w:val="1006"/>
        </w:numPr>
        <w:pStyle w:val="Compact"/>
        <w:bidi/>
      </w:pPr>
      <w:r>
        <w:rPr>
          <w:rtl/>
        </w:rPr>
        <w:t xml:space="preserve">ثانياً: من حيث أساس البطلان : يعد كلا الشرطين باطلاً لمخالفته النظام العام، لأنه ينطوي</w:t>
      </w:r>
      <w:r>
        <w:rPr>
          <w:rtl/>
        </w:rPr>
        <w:t xml:space="preserve"> </w:t>
      </w:r>
      <w:r>
        <w:rPr>
          <w:rtl/>
        </w:rPr>
        <w:t xml:space="preserve">على استغلال الدائن المرتهن للمدين الراهن.</w:t>
      </w:r>
    </w:p>
    <w:p>
      <w:pPr>
        <w:numPr>
          <w:ilvl w:val="0"/>
          <w:numId w:val="1006"/>
        </w:numPr>
        <w:pStyle w:val="Compact"/>
        <w:bidi/>
      </w:pPr>
      <w:r>
        <w:rPr>
          <w:rtl/>
        </w:rPr>
        <w:t xml:space="preserve">ثالثاً: من حيث صيغة الاتفاق على الشرط : فقد جرت العادة أن يدرج كلاهما في عقد الرهن</w:t>
      </w:r>
      <w:r>
        <w:rPr>
          <w:rtl/>
        </w:rPr>
        <w:t xml:space="preserve"> </w:t>
      </w:r>
      <w:r>
        <w:rPr>
          <w:rtl/>
        </w:rPr>
        <w:t xml:space="preserve">نفسه أو في اتفاق لاحق، إما بعد انعقاد عقد الرهن وقبل حلول أجل الدين المضمون بالرهن.</w:t>
      </w:r>
      <w:r>
        <w:rPr>
          <w:rtl/>
        </w:rPr>
        <w:t xml:space="preserve"> </w:t>
      </w:r>
      <w:r>
        <w:rPr>
          <w:rtl/>
        </w:rPr>
        <w:t xml:space="preserve">أو بعد حلول أجل الدين الموثق بالرهن.</w:t>
      </w:r>
    </w:p>
    <w:p>
      <w:pPr>
        <w:numPr>
          <w:ilvl w:val="0"/>
          <w:numId w:val="1006"/>
        </w:numPr>
        <w:pStyle w:val="Compact"/>
        <w:bidi/>
      </w:pPr>
      <w:r>
        <w:rPr>
          <w:rtl/>
        </w:rPr>
        <w:t xml:space="preserve">رابعاً: من حيث طبيعة الشرط: إذ يعد كلاهما شرطاً من الشروط التقييدية المقترنة بالعقد،</w:t>
      </w:r>
      <w:r>
        <w:rPr>
          <w:rtl/>
        </w:rPr>
        <w:t xml:space="preserve"> </w:t>
      </w:r>
      <w:r>
        <w:rPr>
          <w:rtl/>
        </w:rPr>
        <w:t xml:space="preserve">إلا أنه شرط باطل لمخالفته النظام العام، وفقاً للفقرة الثانية من المادة (۱۳۱) من القانون المدني</w:t>
      </w:r>
      <w:r>
        <w:rPr>
          <w:rtl/>
        </w:rPr>
        <w:t xml:space="preserve"> </w:t>
      </w:r>
      <w:r>
        <w:rPr>
          <w:rtl/>
        </w:rPr>
        <w:t xml:space="preserve">العراقي، والمادة (٢٠٦) من قانون المعاملات المدنية الاتحادي الإماراتي.</w:t>
      </w:r>
    </w:p>
    <w:p>
      <w:pPr>
        <w:numPr>
          <w:ilvl w:val="0"/>
          <w:numId w:val="1006"/>
        </w:numPr>
        <w:pStyle w:val="Compact"/>
        <w:bidi/>
      </w:pPr>
      <w:r>
        <w:rPr>
          <w:rtl/>
        </w:rPr>
        <w:t xml:space="preserve">خامساً: كما يتشابه شرط تملك المال المرهون عند عدم الوفاء مع شرط الطريق الممهد، في أن</w:t>
      </w:r>
      <w:r>
        <w:rPr>
          <w:rtl/>
        </w:rPr>
        <w:t xml:space="preserve"> </w:t>
      </w:r>
      <w:r>
        <w:rPr>
          <w:rtl/>
        </w:rPr>
        <w:t xml:space="preserve">كليهما يدرج في عقد الرهن التأميني الذي يرد على العقار، وذلك بمقتضى المواد (١٣٠١) من</w:t>
      </w:r>
    </w:p>
    <w:p>
      <w:pPr>
        <w:bidi/>
      </w:pPr>
      <w:r>
        <w:rPr>
          <w:rtl/>
        </w:rPr>
        <w:t xml:space="preserve">424 السنة السادسة والثلاثون - مجلة جامعة الإمارات ]</w:t>
      </w:r>
    </w:p>
    <w:p>
      <w:pPr>
        <w:bidi/>
      </w:pPr>
      <w:r>
        <w:rPr>
          <w:rtl/>
        </w:rPr>
        <w:t xml:space="preserve">https://scholarworks.uaeu.ac.ae/sharia_and_law/vol2022/iss91/7</w:t>
      </w:r>
    </w:p>
    <w:p>
      <w:pPr>
        <w:bidi/>
      </w:pPr>
      <w:r>
        <w:rPr>
          <w:rtl/>
        </w:rP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60"/>
    <w:bookmarkEnd w:id="61"/>
    <w:bookmarkStart w:id="63" w:name="الفرع-الثاني"/>
    <w:p>
      <w:pPr>
        <w:pStyle w:val="Heading2"/>
        <w:bidi/>
      </w:pPr>
      <w:r>
        <w:rPr>
          <w:rtl/>
        </w:rPr>
        <w:t xml:space="preserve">الفرع الثاني</w:t>
      </w:r>
    </w:p>
    <w:bookmarkStart w:id="62"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bidi/>
      </w:pPr>
      <w:r>
        <w:rPr>
          <w:rtl/>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62"/>
    <w:bookmarkEnd w:id="63"/>
    <w:bookmarkStart w:id="65" w:name="X30dc76a65a07dc25b5900d7762180b93cc2e27b"/>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أن يستوفي حقه في العقار المرهون رهناً تأمينياً وفقاً للإجراءات المقررة لذلك، وإذا لم يف العقار</w:t>
      </w:r>
      <w:r>
        <w:rPr>
          <w:rtl/>
        </w:rPr>
        <w:t xml:space="preserve"> </w:t>
      </w:r>
      <w:r>
        <w:rPr>
          <w:rtl/>
        </w:rPr>
        <w:t xml:space="preserve">بحقه، فله أن يستوفي ما بقي له كدائن عادي من سائر أموال المدين). وكل اتفاق على عدم</w:t>
      </w:r>
      <w:r>
        <w:rPr>
          <w:rtl/>
        </w:rPr>
        <w:t xml:space="preserve"> </w:t>
      </w:r>
      <w:r>
        <w:rPr>
          <w:rtl/>
        </w:rPr>
        <w:t xml:space="preserve">مراعاة تلك الإجراءات يعد باطلاً لمخالفته النظام العام، لأنها وضعت للتوفيق بين المصالح</w:t>
      </w:r>
      <w:r>
        <w:rPr>
          <w:rtl/>
        </w:rPr>
        <w:t xml:space="preserve"> </w:t>
      </w:r>
      <w:r>
        <w:rPr>
          <w:rtl/>
        </w:rPr>
        <w:t xml:space="preserve">المتعارضة لكل من الدائن المرتهن والمدين الراهن (٥٣) . وقد سارت محكمة تمييز العراق في هذا</w:t>
      </w:r>
      <w:r>
        <w:rPr>
          <w:rtl/>
        </w:rPr>
        <w:t xml:space="preserve"> </w:t>
      </w:r>
      <w:r>
        <w:rPr>
          <w:rtl/>
        </w:rPr>
        <w:t xml:space="preserve">الاتجاه أيضاً، وجاء في أحد أحكامها بأن ( من مقتضيات عقد الرهن بيع المرهون عند عدم</w:t>
      </w:r>
      <w:r>
        <w:rPr>
          <w:rtl/>
        </w:rPr>
        <w:t xml:space="preserve"> </w:t>
      </w:r>
      <w:r>
        <w:rPr>
          <w:rtl/>
        </w:rPr>
        <w:t xml:space="preserve">تسديد الدين) (٥٤) . كما جاءت المادة (١٤١٩) من قانون المعاملات المدنية الاتحادي الإماراتي</w:t>
      </w:r>
      <w:r>
        <w:rPr>
          <w:rtl/>
        </w:rPr>
        <w:t xml:space="preserve"> </w:t>
      </w:r>
      <w:r>
        <w:rPr>
          <w:rtl/>
        </w:rPr>
        <w:t xml:space="preserve">بنفس الحكم، ونصت على أن (۱) - للمرتهن أن يستوفي دينه من العقار المرهون عند حلول أجل</w:t>
      </w:r>
      <w:r>
        <w:rPr>
          <w:rtl/>
        </w:rPr>
        <w:t xml:space="preserve"> </w:t>
      </w:r>
      <w:r>
        <w:rPr>
          <w:rtl/>
        </w:rPr>
        <w:t xml:space="preserve">الدين طبقاً لمرتبته وبعد اتخاذ الإجراءات النصوص عليها في قانون الإجراءات أمام المحاكم</w:t>
      </w:r>
      <w:r>
        <w:rPr>
          <w:rtl/>
        </w:rPr>
        <w:t xml:space="preserve"> </w:t>
      </w:r>
      <w:r>
        <w:rPr>
          <w:rtl/>
        </w:rPr>
        <w:t xml:space="preserve">المدنية والقوانين الخاصة. ۲ - فإذا لم يف العقار بدينه كان له الرجوع بباقي دينه على أموال</w:t>
      </w:r>
      <w:r>
        <w:rPr>
          <w:rtl/>
        </w:rPr>
        <w:t xml:space="preserve"> </w:t>
      </w:r>
      <w:r>
        <w:rPr>
          <w:rtl/>
        </w:rPr>
        <w:t xml:space="preserve">المدين كدائن عادي).</w:t>
      </w:r>
    </w:p>
    <w:bookmarkStart w:id="64" w:name="Xc5080e395f8b4021e79ce7e2b155e2dbe5b4117"/>
    <w:p>
      <w:pPr>
        <w:pStyle w:val="Heading3"/>
        <w:bidi/>
      </w:pPr>
      <w:r>
        <w:rPr>
          <w:rtl/>
        </w:rPr>
        <w:t xml:space="preserve">ثانياً: من حيث تحقق مفهوم غلق الرهن المتعارف عليه في الفقه الإسلامي:</w:t>
      </w:r>
    </w:p>
    <w:p>
      <w:pPr>
        <w:bidi/>
      </w:pPr>
      <w:r>
        <w:rPr>
          <w:rtl/>
        </w:rPr>
        <w:t xml:space="preserve">على الرغم من</w:t>
      </w:r>
      <w:r>
        <w:rPr>
          <w:rtl/>
        </w:rPr>
        <w:t xml:space="preserve"> </w:t>
      </w:r>
      <w:r>
        <w:rPr>
          <w:rtl/>
        </w:rPr>
        <w:t xml:space="preserve">أن المادتين (۱۳۰۱) من القانون المدني العراقي، و (١٤٢٠) من قانون المعاملات المدنية</w:t>
      </w:r>
      <w:r>
        <w:rPr>
          <w:rtl/>
        </w:rPr>
        <w:t xml:space="preserve"> </w:t>
      </w:r>
      <w:r>
        <w:rPr>
          <w:rtl/>
        </w:rPr>
        <w:t xml:space="preserve">الاتحادي الإماراتي أدرجتا كلاً من شرط تملك الدائن المرتهن للمال المرهون عند عدم الوفاء،</w:t>
      </w:r>
      <w:r>
        <w:rPr>
          <w:rtl/>
        </w:rPr>
        <w:t xml:space="preserve"> </w:t>
      </w:r>
      <w:r>
        <w:rPr>
          <w:rtl/>
        </w:rPr>
        <w:t xml:space="preserve">وشرط بيع العقار المرهون دون المرور بالإجراءات القانونية، أو الطريق الممهد تحت عنوان</w:t>
      </w:r>
      <w:r>
        <w:rPr>
          <w:rtl/>
        </w:rPr>
        <w:t xml:space="preserve"> </w:t>
      </w:r>
      <w:r>
        <w:rPr>
          <w:rtl/>
        </w:rPr>
        <w:t xml:space="preserve">غلق الرهن. إلا أن مفهوم غلق الرهن يتحقق، وعلى نحو أوضح، في شرط تملك الدائن المرتهن</w:t>
      </w:r>
      <w:r>
        <w:rPr>
          <w:rtl/>
        </w:rPr>
        <w:t xml:space="preserve"> </w:t>
      </w:r>
      <w:r>
        <w:rPr>
          <w:rtl/>
        </w:rPr>
        <w:t xml:space="preserve">للمال المرهون عند عدم الوفاء، من شرط الطريق الممهد لأن غلق الرهن ينطوي على معنى</w:t>
      </w:r>
      <w:r>
        <w:rPr>
          <w:rtl/>
        </w:rPr>
        <w:t xml:space="preserve"> </w:t>
      </w:r>
      <w:r>
        <w:rPr>
          <w:rtl/>
        </w:rPr>
        <w:t xml:space="preserve">تملك المرتهن للمال المرهون، خلافاً لشرط الطريق الممهد الذي لا يؤدي إلى تملك المرتهن للمال</w:t>
      </w:r>
      <w:r>
        <w:rPr>
          <w:rtl/>
        </w:rPr>
        <w:t xml:space="preserve"> </w:t>
      </w:r>
      <w:r>
        <w:rPr>
          <w:rtl/>
        </w:rPr>
        <w:t xml:space="preserve">المرهون مباشرةً، ولكن إلى بيعه من دون مراعاة الإجراءات القانونية. ويتحقق هذا المفهوم</w:t>
      </w:r>
      <w:r>
        <w:rPr>
          <w:rtl/>
        </w:rPr>
        <w:t xml:space="preserve"> </w:t>
      </w:r>
      <w:r>
        <w:rPr>
          <w:rtl/>
        </w:rPr>
        <w:t xml:space="preserve">بوضوح في حديث رسول الله عليه الصلاة والسلام ( لا يغلق الرهن من صاحبه الذي رهنه،</w:t>
      </w:r>
    </w:p>
    <w:p>
      <w:pPr>
        <w:numPr>
          <w:ilvl w:val="0"/>
          <w:numId w:val="1007"/>
        </w:numPr>
        <w:pStyle w:val="Compact"/>
        <w:bidi/>
      </w:pPr>
      <w:r>
        <w:rPr>
          <w:rtl/>
        </w:rPr>
        <w:t xml:space="preserve">(٥٣) محمد طه البشير ود. غني حسون طه. الحقوق العينية. الجزء الثاني. مصدر سابق. ص٤٢٨.</w:t>
      </w:r>
    </w:p>
    <w:p>
      <w:pPr>
        <w:numPr>
          <w:ilvl w:val="0"/>
          <w:numId w:val="1007"/>
        </w:numPr>
        <w:pStyle w:val="Compact"/>
        <w:bidi/>
      </w:pPr>
      <w:r>
        <w:rPr>
          <w:rtl/>
        </w:rPr>
        <w:t xml:space="preserve">(٥٤) حكم محكمة تمييز العراق ذو الرقم (١٣٣ / صلحية / ٥٦) في ٢٢/ ٢ / ١٩٥٦ نقلاً عن سلمان بيات. القضاء المدني</w:t>
      </w:r>
      <w:r>
        <w:rPr>
          <w:rtl/>
        </w:rPr>
        <w:t xml:space="preserve"> </w:t>
      </w:r>
      <w:r>
        <w:rPr>
          <w:rtl/>
        </w:rPr>
        <w:t xml:space="preserve">العراقي. الجزء الثاني. شركة الطبع والنشر الأهلية بغداد. ١٩٦٢. ص ٧٠٢.</w:t>
      </w:r>
    </w:p>
    <w:p>
      <w:pPr>
        <w:bidi/>
      </w:pPr>
      <w:r>
        <w:t xml:space="preserve">426</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"إن لم آتك بمالك فالرهن لك". وهو بهذا المعنى يناقض مفهوم فك الرهن الذي يعني إطلاق قيده من المرتهن. فإذا فك الراهن الرهن فقد أطلقه من وثاقه عند مرتهنه (٥٥). فغلق الرهن يعني ملك المرتهن للمرهون واستحقاقه له، لعجز الراهن عن فكه (٥٦).</w:t>
      </w:r>
    </w:p>
    <w:bookmarkEnd w:id="64"/>
    <w:bookmarkEnd w:id="65"/>
    <w:bookmarkStart w:id="69" w:name="المبحث-الثاني"/>
    <w:p>
      <w:pPr>
        <w:pStyle w:val="Heading2"/>
        <w:bidi/>
      </w:pPr>
      <w:r>
        <w:rPr>
          <w:rtl/>
        </w:rPr>
        <w:t xml:space="preserve">المبحث الثاني</w:t>
      </w:r>
    </w:p>
    <w:bookmarkStart w:id="66"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66"/>
    <w:bookmarkStart w:id="67" w:name="المطلب-الأول-1"/>
    <w:p>
      <w:pPr>
        <w:pStyle w:val="Heading3"/>
        <w:bidi/>
      </w:pPr>
      <w:r>
        <w:rPr>
          <w:rtl/>
        </w:rPr>
        <w:t xml:space="preserve">المطلب الأول</w:t>
      </w:r>
    </w:p>
    <w:bookmarkEnd w:id="67"/>
    <w:bookmarkStart w:id="68" w:name="الاتجاه-المبطل-لغلق-الرهن"/>
    <w:p>
      <w:pPr>
        <w:pStyle w:val="Heading3"/>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pPr>
        <w:bidi/>
      </w:pPr>
      <w:r>
        <w:rPr>
          <w:rtl/>
        </w:rPr>
        <w:t xml:space="preserve">(٥٥) محمد بن علي بن محمد الشوكاني. نيل الأوطار . مصدر سابق. ص۱۰۳۷.</w:t>
      </w:r>
      <w:r>
        <w:br/>
      </w:r>
      <w:r>
        <w:rPr>
          <w:rtl/>
        </w:rPr>
        <w:t xml:space="preserve">(٥٦) د. منصور حاتم محسن الفتلاوي وزينب حسين يوسف الغرابي. مصدر سابق. ص۳۹.</w:t>
      </w:r>
      <w:r>
        <w:br/>
      </w:r>
      <w:r>
        <w:rPr>
          <w:rtl/>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rPr>
        <w:t xml:space="preserve">427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21</w:t>
      </w:r>
    </w:p>
    <w:p>
      <w:r>
        <w:pict>
          <v:rect style="width:0;height:1.5pt" o:hralign="center" o:hrstd="t" o:hr="t"/>
        </w:pict>
      </w:r>
    </w:p>
    <w:p>
      <w:pPr>
        <w:bidi/>
      </w:pPr>
      <w:r>
        <w:rPr>
          <w:rtl/>
        </w:rPr>
        <w:t xml:space="preserve">Journal Sharia and Law, Vol. 2022, No. 91 [2022], Art. 7</w:t>
      </w:r>
    </w:p>
    <w:bookmarkEnd w:id="68"/>
    <w:bookmarkEnd w:id="69"/>
    <w:bookmarkEnd w:id="70"/>
    <w:bookmarkStart w:id="74"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pPr>
        <w:bidi/>
      </w:pPr>
      <w:r>
        <w:rPr>
          <w:rtl/>
        </w:rPr>
        <w:t xml:space="preserve">= 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08"/>
        </w:numPr>
        <w:pStyle w:val="Compact"/>
        <w:bidi/>
      </w:pPr>
      <w:r>
        <w:rPr>
          <w:rtl/>
        </w:rPr>
        <w:t xml:space="preserve">محمد بن علي بن محمد الشوكاني. نيل الأوطار. مصدر سابق. ص١٠٣٧.</w:t>
      </w:r>
    </w:p>
    <w:p>
      <w:pPr>
        <w:numPr>
          <w:ilvl w:val="0"/>
          <w:numId w:val="1008"/>
        </w:numPr>
        <w:pStyle w:val="Compact"/>
        <w:bidi/>
      </w:pPr>
      <w:r>
        <w:rPr>
          <w:rtl/>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8"/>
        </w:numPr>
        <w:pStyle w:val="Compact"/>
        <w:bidi/>
      </w:pPr>
      <w:r>
        <w:rPr>
          <w:rtl/>
        </w:rPr>
        <w:t xml:space="preserve">شمس الدين السرخسي . المبسوط. الجزء الحادي والعشرون. دار المعرفة بيروت. ١٩٨٩. ص٦٦.</w:t>
      </w:r>
    </w:p>
    <w:p>
      <w:pPr>
        <w:numPr>
          <w:ilvl w:val="0"/>
          <w:numId w:val="1008"/>
        </w:numPr>
        <w:pStyle w:val="Compact"/>
        <w:bidi/>
      </w:pPr>
      <w:r>
        <w:rPr>
          <w:rtl/>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428 السنة السادسة والثلاثون - مجلة جامعة الإمارات ]</w:t>
      </w:r>
    </w:p>
    <w:p>
      <w:pPr>
        <w:bidi/>
      </w:pPr>
      <w:r>
        <w:rPr>
          <w:rtl/>
        </w:rPr>
        <w:t xml:space="preserve">https://scholarworks.uaeu.ac.ae/sharia_and_law/vol2022/iss91/7</w:t>
      </w:r>
    </w:p>
    <w:p>
      <w:pPr>
        <w:bidi/>
      </w:pPr>
      <w:r>
        <w:rPr>
          <w:rtl/>
        </w:rPr>
        <w:t xml:space="preserve">22</w:t>
      </w:r>
    </w:p>
    <w:p>
      <w:r>
        <w:pict>
          <v:rect style="width:0;height:1.5pt" o:hralign="center" o:hrstd="t" o:hr="t"/>
        </w:pict>
      </w:r>
    </w:p>
    <w:p>
      <w:pPr>
        <w:bidi/>
      </w:pPr>
      <w:r>
        <w:rPr>
          <w:rtl/>
        </w:rPr>
        <w:t xml:space="preserve">Ali: ??? ????? ?? ??????? ????????? ????? ??????? ?????? ?????? ???????? ???????? ???????</w:t>
      </w:r>
    </w:p>
    <w:bookmarkStart w:id="71" w:name="د.يونس-صلاح-الدين-علي"/>
    <w:p>
      <w:pPr>
        <w:pStyle w:val="Heading2"/>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23</w:t>
      </w:r>
    </w:p>
    <w:p>
      <w:r>
        <w:pict>
          <v:rect style="width:0;height:1.5pt" o:hralign="center" o:hrstd="t" o:hr="t"/>
        </w:pict>
      </w:r>
    </w:p>
    <w:p>
      <w:pPr>
        <w:pStyle w:val="FirstParagraph"/>
      </w:pPr>
      <w: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التجارية الاتحادي الإماراتي رقم (18) لسنة 1993(65).</w:t>
      </w:r>
    </w:p>
    <w:bookmarkEnd w:id="71"/>
    <w:bookmarkStart w:id="73" w:name="المطلب-الثاني-1"/>
    <w:p>
      <w:pPr>
        <w:pStyle w:val="Heading2"/>
        <w:bidi/>
      </w:pPr>
      <w:r>
        <w:rPr>
          <w:rtl/>
        </w:rPr>
        <w:t xml:space="preserve">المطلب الثاني</w:t>
      </w:r>
    </w:p>
    <w:bookmarkStart w:id="72"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w:t>
      </w:r>
      <w:r>
        <w:rPr>
          <w:rtl/>
        </w:rPr>
        <w:t xml:space="preserve"> </w:t>
      </w:r>
      <w:r>
        <w:rPr>
          <w:rtl/>
        </w:rPr>
        <w:t xml:space="preserve">الدين. فيتفق المرتهن والراهن على تملك الأول للعين المرهونة بشرائها بثمن الدين المضمون.</w:t>
      </w:r>
      <w:r>
        <w:rPr>
          <w:rtl/>
        </w:rPr>
        <w:t xml:space="preserve"> </w:t>
      </w:r>
      <w:r>
        <w:rPr>
          <w:rtl/>
        </w:rPr>
        <w:t xml:space="preserve">ويذهب هذا الاتجاه إلى أنه يصح قول الراهن للمرتهن (إن وفيتك الدين في أجل معين كان كذا،</w:t>
      </w:r>
      <w:r>
        <w:rPr>
          <w:rtl/>
        </w:rPr>
        <w:t xml:space="preserve"> </w:t>
      </w:r>
      <w:r>
        <w:rPr>
          <w:rtl/>
        </w:rPr>
        <w:t xml:space="preserve">وإلا فالرهن لك بما عليه). كما يذهب أصحاب هذا الرأي أيضاً إلى أن من احتجوا بقوله عليه</w:t>
      </w:r>
      <w:r>
        <w:rPr>
          <w:rtl/>
        </w:rPr>
        <w:t xml:space="preserve"> </w:t>
      </w:r>
      <w:r>
        <w:rPr>
          <w:rtl/>
        </w:rPr>
        <w:t xml:space="preserve">الصلاة والسلام لا يغلق الرهن لا حجة لهم فيه. فإن هذا كان موجبه في الجاهلية أن الدائن</w:t>
      </w:r>
      <w:r>
        <w:rPr>
          <w:rtl/>
        </w:rPr>
        <w:t xml:space="preserve"> </w:t>
      </w:r>
      <w:r>
        <w:rPr>
          <w:rtl/>
        </w:rPr>
        <w:t xml:space="preserve">المرتهن يتملك المرهون بغير إذن المالك إذا لم يوفه؛ فهذا هو غلق الرهن الذي أبطله رسول الله عليه</w:t>
      </w:r>
      <w:r>
        <w:rPr>
          <w:rtl/>
        </w:rPr>
        <w:t xml:space="preserve"> </w:t>
      </w:r>
      <w:r>
        <w:rPr>
          <w:rtl/>
        </w:rPr>
        <w:t xml:space="preserve">الصلاة والسلام، وأما بيعه للمرتهن بما عليه من دين عند حلول أجله فلم يبطله الكتاب ولا السنة</w:t>
      </w:r>
      <w:r>
        <w:rPr>
          <w:rtl/>
        </w:rPr>
        <w:t xml:space="preserve"> </w:t>
      </w:r>
      <w:r>
        <w:rPr>
          <w:rtl/>
        </w:rPr>
        <w:t xml:space="preserve">ولا المصادر الأخرى كالإجماع والقياس. وهو صحيح لا تشوبه مفسدة ظاهرة(66). وكل ما في</w:t>
      </w:r>
      <w:r>
        <w:rPr>
          <w:rtl/>
        </w:rPr>
        <w:t xml:space="preserve"> </w:t>
      </w:r>
      <w:r>
        <w:rPr>
          <w:rtl/>
        </w:rPr>
        <w:t xml:space="preserve">الأمر أنه بيع علق على شرط. وقد تدعو الحاجة والمصلحة إلى ذلك أحياناً، فلا يجوز أن يحرم على</w:t>
      </w:r>
      <w:r>
        <w:rPr>
          <w:rtl/>
        </w:rPr>
        <w:t xml:space="preserve"> </w:t>
      </w:r>
      <w:r>
        <w:rPr>
          <w:rtl/>
        </w:rPr>
        <w:t xml:space="preserve">الدائن المرتهن ما لم يحرمه الله ورسوله. وغلق الرهن في هذه الصورة فيه خير للراهن والمرتهن على</w:t>
      </w:r>
      <w:r>
        <w:rPr>
          <w:rtl/>
        </w:rPr>
        <w:t xml:space="preserve"> </w:t>
      </w:r>
      <w:r>
        <w:rPr>
          <w:rtl/>
        </w:rPr>
        <w:t xml:space="preserve">حد سواء، بدلاً من تكليف المرتهن رفع الأمر إلى الحاكم وإثباته الرهن واستئذانه في بيعه وما و يحمله</w:t>
      </w:r>
      <w:r>
        <w:rPr>
          <w:rtl/>
        </w:rPr>
        <w:t xml:space="preserve"> </w:t>
      </w:r>
      <w:r>
        <w:rPr>
          <w:rtl/>
        </w:rPr>
        <w:t xml:space="preserve">معه من تعب لا مصلحة فيه لكليهما سوى الخسارة والمشقة. فإذا اتفقا على أن المرهون له بالدين</w:t>
      </w:r>
      <w:r>
        <w:rPr>
          <w:rtl/>
        </w:rPr>
        <w:t xml:space="preserve"> </w:t>
      </w:r>
      <w:r>
        <w:rPr>
          <w:rtl/>
        </w:rPr>
        <w:t xml:space="preserve">عند الحلول، أي تملك المرتهن للمال المرهون عند حلول أجل الدين وعدم وفاء الراهن، كان ذلك</w:t>
      </w:r>
      <w:r>
        <w:rPr>
          <w:rtl/>
        </w:rPr>
        <w:t xml:space="preserve"> </w:t>
      </w:r>
      <w:r>
        <w:rPr>
          <w:rtl/>
        </w:rPr>
        <w:t xml:space="preserve">أصلح لهما وأنفع وأبعد من الضرر والمشقة والخسارة. فالحيلة في جواز ذلك بحيث لا يحتاج إلى</w:t>
      </w:r>
      <w:r>
        <w:rPr>
          <w:rtl/>
        </w:rPr>
        <w:t xml:space="preserve"> </w:t>
      </w:r>
      <w:r>
        <w:rPr>
          <w:rtl/>
        </w:rPr>
        <w:t xml:space="preserve">حاكم أن يملكه العين التي يريد أن يرهنها منه، ثم يشتريها منه بالمبلغ الذي يريد استدانته، ثم يقول:</w:t>
      </w:r>
    </w:p>
    <w:p>
      <w:pPr>
        <w:bidi/>
      </w:pPr>
      <w:r>
        <w:rPr>
          <w:rtl/>
        </w:rPr>
        <w:t xml:space="preserve">(65) نصت الفقرة الأولى من المادة (176) من قانون المعاملات التجارية الاتحادي الإماراتي رقم (18) لسنة 1993 على أنه (يقع</w:t>
      </w:r>
      <w:r>
        <w:rPr>
          <w:rtl/>
        </w:rPr>
        <w:t xml:space="preserve"> </w:t>
      </w:r>
      <w:r>
        <w:rPr>
          <w:rtl/>
        </w:rPr>
        <w:t xml:space="preserve">باطلاً كل اتفاق يبرم وقت تقرير الرهن أو بعد تقريره ويعطي الدائن المرتهن في حالة عدم وفاء المدين بالدين في تاريخ الاستحقاق</w:t>
      </w:r>
      <w:r>
        <w:rPr>
          <w:rtl/>
        </w:rPr>
        <w:t xml:space="preserve"> </w:t>
      </w:r>
      <w:r>
        <w:rPr>
          <w:rtl/>
        </w:rPr>
        <w:t xml:space="preserve">الحق في تملك الشيء المرهون أو بيعه دون مراعاة الأحكام والإجراءات المنصوص عليها في المادة 172).</w:t>
      </w:r>
    </w:p>
    <w:p>
      <w:pPr>
        <w:bidi/>
      </w:pPr>
      <w:r>
        <w:rPr>
          <w:rtl/>
        </w:rPr>
        <w:t xml:space="preserve">(66) أبو عبد الله محمد بن أبي بكر بن أيوب المعروف بابن قيم الجوزية. إعلام الموقعين عن رب العالمين. المجلد الخامس.</w:t>
      </w:r>
      <w:r>
        <w:rPr>
          <w:rtl/>
        </w:rPr>
        <w:t xml:space="preserve"> </w:t>
      </w:r>
      <w:r>
        <w:rPr>
          <w:rtl/>
        </w:rPr>
        <w:t xml:space="preserve">الطبعة الأولى. دار ابن الجوزي المملكة العربية السعودية. 1423 هـ. ص 343.</w:t>
      </w:r>
    </w:p>
    <w:p>
      <w:pPr>
        <w:bidi/>
      </w:pPr>
      <w:r>
        <w:rPr>
          <w:rtl/>
        </w:rPr>
        <w:t xml:space="preserve">430 السنة السادسة والثلاثون - مجلة جامعة الإمارات ]</w:t>
      </w:r>
    </w:p>
    <w:p>
      <w:pPr>
        <w:pStyle w:val="BodyText"/>
      </w:pPr>
      <w:r>
        <w:t xml:space="preserve">https://scholarworks.uaeu.ac.ae/sharia_and_law/vol2022/iss91/7</w:t>
      </w:r>
    </w:p>
    <w:p>
      <w:pPr>
        <w:pStyle w:val="BodyText"/>
      </w:pPr>
      <w:r>
        <w:t xml:space="preserve">24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 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rPr>
        <w:t xml:space="preserve">431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rPr>
          <w:rtl/>
        </w:rPr>
        <w:t xml:space="preserve">Journal Sharia and Law, Vol. 2022, No. 91 [2022], Art. 7</w:t>
      </w:r>
    </w:p>
    <w:bookmarkEnd w:id="72"/>
    <w:bookmarkEnd w:id="73"/>
    <w:bookmarkEnd w:id="74"/>
    <w:bookmarkStart w:id="77" w:name="Xdcf782601a0e7c963d0fe4f448a824a7a417c9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وفاء لدينه).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rPr>
        <w:t xml:space="preserve">(٦٧) د. عبد الرزاق أحمد السنهوري. الوسيط في شرح القانون المدني. ج. ۱۰.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 أنه (ومع ذلك يجوز بعد حلول الدين أو قسط منه الاتفاق على أن ينزل المدين لدائنه عن الشيء المرهون أو جزء منه وفاء للدين أو الجانب منه).</w:t>
      </w:r>
    </w:p>
    <w:p>
      <w:pPr>
        <w:bidi/>
      </w:pPr>
      <w:r>
        <w:rPr>
          <w:rtl/>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rPr>
        <w:t xml:space="preserve">432</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بالإجراءات القانونية (٧٠).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6" w:name="المبحث-الثالث"/>
    <w:p>
      <w:pPr>
        <w:pStyle w:val="Heading2"/>
        <w:bidi/>
      </w:pPr>
      <w:r>
        <w:rPr>
          <w:rtl/>
        </w:rPr>
        <w:t xml:space="preserve">المبحث الثالث</w:t>
      </w:r>
    </w:p>
    <w:bookmarkStart w:id="75"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rPr>
        <w:t xml:space="preserve">(۷۰) د. عبد الرزاق أحمد السنهوري. الوسيط في شرح القانون المدني . ج ۱۰ . المصدر نفسه. ص ٣٣٤.</w:t>
      </w:r>
    </w:p>
    <w:p>
      <w:pPr>
        <w:bidi/>
      </w:pPr>
      <w:r>
        <w:rPr>
          <w:rtl/>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bidi/>
      </w:pPr>
      <w:r>
        <w:rPr>
          <w:rtl/>
        </w:rPr>
        <w:t xml:space="preserve">Journal Sharia and Law, Vol. 2022, No. 91 [2022], Art. 7</w:t>
      </w:r>
    </w:p>
    <w:bookmarkEnd w:id="75"/>
    <w:bookmarkEnd w:id="76"/>
    <w:bookmarkEnd w:id="77"/>
    <w:bookmarkStart w:id="82" w:name="X953e6dbfc83801efec2ab99c84ee225fc1b2fd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1" w:name="المطلب-الأول-2"/>
    <w:p>
      <w:pPr>
        <w:pStyle w:val="Heading2"/>
        <w:bidi/>
      </w:pPr>
      <w:r>
        <w:rPr>
          <w:rtl/>
        </w:rPr>
        <w:t xml:space="preserve">المطلب الأول</w:t>
      </w:r>
    </w:p>
    <w:bookmarkStart w:id="78"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Redemption)(۷۳)، الذي يضمن استعادة المدين الراهن لحقه (٧٤) ، وإمكانية إبطال غلق الرهن وعلى النحو الآتي:</w:t>
      </w:r>
    </w:p>
    <w:bookmarkEnd w:id="78"/>
    <w:bookmarkStart w:id="80" w:name="الفرع-الأول-1"/>
    <w:p>
      <w:pPr>
        <w:pStyle w:val="Heading3"/>
        <w:bidi/>
      </w:pPr>
      <w:r>
        <w:rPr>
          <w:rtl/>
        </w:rPr>
        <w:t xml:space="preserve">الفرع الأول</w:t>
      </w:r>
    </w:p>
    <w:bookmarkStart w:id="79" w:name="X7753bedef186d8410c4ae49d53dbc2ca4d8298c"/>
    <w:p>
      <w:pPr>
        <w:pStyle w:val="Heading4"/>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 (٧٥) ، خالصةً من أية حقوق للمدين</w:t>
      </w:r>
    </w:p>
    <w:p>
      <w:r>
        <w:pict>
          <v:rect style="width:0;height:1.5pt" o:hralign="center" o:hrstd="t" o:hr="t"/>
        </w:pict>
      </w:r>
    </w:p>
    <w:p>
      <w:pPr>
        <w:pStyle w:val="FirstParagraph"/>
      </w:pPr>
      <w:r>
        <w:t xml:space="preserve">(73) E. H Burn and J. Cartwright. Cheshire and Burn's Modern law of Real Property. Eighteenth Edition. Oxford University Press. 2011.P.864.</w:t>
      </w:r>
    </w:p>
    <w:p>
      <w:pPr>
        <w:pStyle w:val="BodyText"/>
      </w:pPr>
      <w:r>
        <w:t xml:space="preserve">(74) Elizabeth Cooke. Modern Studies in Property Law. Volume 4. HART Publishing. 2007. P.83.</w:t>
      </w:r>
    </w:p>
    <w:p>
      <w:pPr>
        <w:pStyle w:val="BodyText"/>
      </w:pPr>
      <w:r>
        <w:t xml:space="preserve">(75) John wilman, Brown: GCSE Law, Nineth Edition, Thomson, Sweet and Maxwell, 2005, P.287.</w:t>
      </w:r>
    </w:p>
    <w:p>
      <w:pPr>
        <w:bidi/>
      </w:pPr>
      <w:r>
        <w:rPr>
          <w:rtl/>
        </w:rPr>
        <w:t xml:space="preserve">السنة السادسة والثلاثون - مجلة جامعة الإمارات ]</w:t>
      </w:r>
      <w:r>
        <w:rPr>
          <w:rtl/>
        </w:rPr>
        <w:t xml:space="preserve"> </w:t>
      </w:r>
      <w:r>
        <w:t xml:space="preserve">434</w:t>
      </w:r>
    </w:p>
    <w:p>
      <w:pPr>
        <w:bidi/>
      </w:pPr>
      <w:r>
        <w:rPr>
          <w:rtl/>
        </w:rPr>
        <w:t xml:space="preserve">https://scholarworks.uaeu.ac.ae/sharia_and_law/vol2022/iss91/7</w:t>
      </w:r>
    </w:p>
    <w:p>
      <w:pPr>
        <w:bidi/>
      </w:pPr>
      <w:r>
        <w:rPr>
          <w:rtl/>
        </w:rPr>
        <w:t xml:space="preserve">28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 المترتبة على غلق الرهن (٧٦). فتنتقل ملكية العقار المرهون من المدين الراهن إلى الدائن المرتهن، فضلاً عن انقضاء الرهن وكل ما يتضمنه من بنود أو شروط (٧٧).</w:t>
      </w:r>
    </w:p>
    <w:p>
      <w:pPr>
        <w:bidi/>
      </w:pPr>
      <w:r>
        <w:rPr>
          <w:rtl/>
        </w:rPr>
        <w:t xml:space="preserve">وهو ما قضت به الفقرة الثانية من المادة (۸۸) من تشريع قانون الملكية لعام ١٩٢٥ (1925 The Law of Property Act) التي نصت على أنه ( إذا حصل أي دائن مرتهن على أمر مطلق بغلق الرهن، فإن ذلك الأمر يترتب عليه انتقال حق الملكية إلى الدائن المرتهن (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(٧٨).</w:t>
      </w:r>
    </w:p>
    <w:p>
      <w:pPr>
        <w:bidi/>
      </w:pPr>
      <w:r>
        <w:rPr>
          <w:rtl/>
        </w:rPr>
        <w:t xml:space="preserve">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(1851) Wayne v Hanman &amp; Others) التي تتلخص وقائعها (٧٩) في</w:t>
      </w:r>
    </w:p>
    <w:p>
      <w:r>
        <w:pict>
          <v:rect style="width:0;height:1.5pt" o:hralign="center" o:hrstd="t" o:hr="t"/>
        </w:pict>
      </w:r>
    </w:p>
    <w:p>
      <w:pPr>
        <w:pStyle w:val="FirstParagraph"/>
      </w:pPr>
      <w:r>
        <w:t xml:space="preserve">(76) Michael Bridge. Personal Property Law. Fourth Edition. Oxford University Press. 2015. P.297.</w:t>
      </w:r>
    </w:p>
    <w:p>
      <w:pPr>
        <w:pStyle w:val="BodyText"/>
      </w:pPr>
      <w:r>
        <w:t xml:space="preserve">(77) Martin Dixon. Principles of Land Law. Fourth Edition. Cavendish Publishing Limited. London. 2002. P.381.</w:t>
      </w:r>
    </w:p>
    <w:p>
      <w:pPr>
        <w:pStyle w:val="BodyText"/>
      </w:pPr>
      <w: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t xml:space="preserve">(79) Edmund H. Bennett &amp; Chauncey Smith, EsQrs. English Report in Law and Equity.</w:t>
      </w:r>
    </w:p>
    <w:p>
      <w:pPr>
        <w:bidi/>
      </w:pPr>
      <w:r>
        <w:rPr>
          <w:rtl/>
        </w:rPr>
        <w:t xml:space="preserve">435</w:t>
      </w:r>
    </w:p>
    <w:p>
      <w:pPr>
        <w:bidi/>
      </w:pPr>
      <w:r>
        <w:rPr>
          <w:rtl/>
        </w:rPr>
        <w:t xml:space="preserve">العدد الواحد والتسعون - ذو الحجة ١٤٤٣ هـ يوليو ٢٠٢٢]</w:t>
      </w:r>
    </w:p>
    <w:p>
      <w:pPr>
        <w:bidi/>
      </w:pPr>
      <w:r>
        <w:rPr>
          <w:rtl/>
        </w:rPr>
        <w:t xml:space="preserve">Published by Scholarworks@UAEU, 2022</w:t>
      </w:r>
    </w:p>
    <w:p>
      <w:pPr>
        <w:bidi/>
      </w:pPr>
      <w:r>
        <w:rPr>
          <w:rtl/>
        </w:rPr>
        <w:t xml:space="preserve">29</w:t>
      </w:r>
    </w:p>
    <w:p>
      <w:r>
        <w:pict>
          <v:rect style="width:0;height:1.5pt" o:hralign="center" o:hrstd="t" o:hr="t"/>
        </w:pict>
      </w:r>
    </w:p>
    <w:p>
      <w:pPr>
        <w:bidi/>
      </w:pPr>
      <w:r>
        <w:rPr>
          <w:rtl/>
        </w:rPr>
        <w:t xml:space="preserve">Journal Sharia and Law, Vol. 2022, No. 91 [2022], Art. 7</w:t>
      </w:r>
    </w:p>
    <w:bookmarkEnd w:id="79"/>
    <w:bookmarkEnd w:id="80"/>
    <w:bookmarkEnd w:id="81"/>
    <w:bookmarkEnd w:id="82"/>
    <w:bookmarkStart w:id="84" w:name="X00bcc16f5ebde01e71e0f0eef688509445939ad"/>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pStyle w:val="FirstParagraph"/>
      </w:pPr>
      <w: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rPr>
        <w:t xml:space="preserve">السنة السادسة والثلاثون - مجلة جامعة الإمارات 436</w:t>
      </w:r>
    </w:p>
    <w:p>
      <w:pPr>
        <w:bidi/>
      </w:pPr>
      <w:r>
        <w:rPr>
          <w:rtl/>
        </w:rPr>
        <w:t xml:space="preserve">https://scholarworks.uaeu.ac.ae/sharia_and_law/vol2022/iss91/7</w:t>
      </w:r>
    </w:p>
    <w:p>
      <w:pPr>
        <w:bidi/>
      </w:pPr>
      <w:r>
        <w:rPr>
          <w:rtl/>
        </w:rP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 (۸۲).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numPr>
          <w:ilvl w:val="0"/>
          <w:numId w:val="1009"/>
        </w:numPr>
        <w:pStyle w:val="Compact"/>
      </w:pPr>
      <w:r>
        <w:t xml:space="preserve">Martin Dixon. Modern Land Law. seventh Edition. Routledge Taylor &amp; Francis Group. London and New York. 2010 P.422.</w:t>
      </w:r>
    </w:p>
    <w:p>
      <w:pPr>
        <w:numPr>
          <w:ilvl w:val="0"/>
          <w:numId w:val="1009"/>
        </w:numPr>
        <w:pStyle w:val="Compact"/>
      </w:pPr>
      <w:r>
        <w:t xml:space="preserve">Rojer J. Smith. Property Law: Cases and Materials. Fifth Edition. Pearson Education Limited. Essex England. 2012. P.765.</w:t>
      </w:r>
    </w:p>
    <w:p>
      <w:pPr>
        <w:numPr>
          <w:ilvl w:val="0"/>
          <w:numId w:val="1009"/>
        </w:numPr>
        <w:pStyle w:val="Compact"/>
      </w:pPr>
      <w:r>
        <w:t xml:space="preserve">Lynn T. Slossberg. The Essentials of Real Estate Law. Third Edition. CENGAGE Learning. 2015. P.597.</w:t>
      </w:r>
    </w:p>
    <w:p>
      <w:pPr>
        <w:numPr>
          <w:ilvl w:val="0"/>
          <w:numId w:val="1009"/>
        </w:numPr>
        <w:pStyle w:val="Compact"/>
      </w:pPr>
      <w:r>
        <w:t xml:space="preserve">Douglas Wood. op. Cit. P.137.</w:t>
      </w:r>
    </w:p>
    <w:p>
      <w:pPr>
        <w:bidi/>
      </w:pPr>
      <w:r>
        <w:rPr>
          <w:rtl/>
        </w:rPr>
        <w:t xml:space="preserve">(٨٤) لمزيد من التفصيل حول القضية ينظر الموقع الإلكتروني:</w:t>
      </w:r>
    </w:p>
    <w:p>
      <w:pPr>
        <w:bidi/>
      </w:pPr>
      <w:hyperlink r:id="rId83">
        <w:r>
          <w:rPr>
            <w:rStyle w:val="Hyperlink"/>
            <w:rtl/>
          </w:rPr>
          <w:t xml:space="preserve">https://swarb.co.uk/first-national-securities-v-hegerty-ca-1984/</w:t>
        </w:r>
      </w:hyperlink>
    </w:p>
    <w:p>
      <w:pPr>
        <w:pStyle w:val="BodyText"/>
      </w:pPr>
      <w:r>
        <w:t xml:space="preserve">437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31</w:t>
      </w:r>
    </w:p>
    <w:p>
      <w:r>
        <w:pict>
          <v:rect style="width:0;height:1.5pt" o:hralign="center" o:hrstd="t" o:hr="t"/>
        </w:pict>
      </w:r>
    </w:p>
    <w:p>
      <w:pPr>
        <w:bidi/>
      </w:pPr>
      <w:r>
        <w:rPr>
          <w:rtl/>
        </w:rPr>
        <w:t xml:space="preserve">Journal Sharia and Law, Vol. 2022, No. 91 [2022], Art. 7</w:t>
      </w:r>
    </w:p>
    <w:bookmarkEnd w:id="84"/>
    <w:bookmarkStart w:id="87" w:name="X9cb608e5477a83cc7fc965080b4aba2b64dccb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w:t>
      </w:r>
      <w:r>
        <w:rPr>
          <w:rtl/>
        </w:rPr>
        <w:t xml:space="preserve"> </w:t>
      </w:r>
      <w:r>
        <w:rPr>
          <w:rtl/>
        </w:rPr>
        <w:t xml:space="preserve">للوفاء بالدين المضمون بالرهن تخلفت الزوجة عن الوفاء. فأقامت الشركة الدائن المرتهن</w:t>
      </w:r>
      <w:r>
        <w:rPr>
          <w:rtl/>
        </w:rPr>
        <w:t xml:space="preserve"> </w:t>
      </w:r>
      <w:r>
        <w:rPr>
          <w:rtl/>
        </w:rPr>
        <w:t xml:space="preserve">الدعوى وحصلت على أمر تمهيدي (Order Nisi) من المحكمة، التي رفضت لاحقاً إصدار الأمر</w:t>
      </w:r>
      <w:r>
        <w:rPr>
          <w:rtl/>
        </w:rPr>
        <w:t xml:space="preserve"> </w:t>
      </w:r>
      <w:r>
        <w:rPr>
          <w:rtl/>
        </w:rPr>
        <w:t xml:space="preserve">القطعي (Order Absolute)، بسبب طلب تقدمت به الزوجة للطلاق من زوجها الهارب.</w:t>
      </w:r>
      <w:r>
        <w:rPr>
          <w:rtl/>
        </w:rPr>
        <w:t xml:space="preserve"> </w:t>
      </w:r>
      <w:r>
        <w:rPr>
          <w:rtl/>
        </w:rPr>
        <w:t xml:space="preserve">فاستأنفت الشركة المدعية حكم المحكمة، وطالبت بإصدار الأمر القطعي. فصدر حكم المحكمة</w:t>
      </w:r>
      <w:r>
        <w:rPr>
          <w:rtl/>
        </w:rPr>
        <w:t xml:space="preserve"> </w:t>
      </w:r>
      <w:r>
        <w:rPr>
          <w:rtl/>
        </w:rPr>
        <w:t xml:space="preserve">العليا (High Court) لمصلحة الدائن المرتهن، ورفضت نقل الدعوى إلى هيئة الأمور العائلية</w:t>
      </w:r>
      <w:r>
        <w:rPr>
          <w:rtl/>
        </w:rPr>
        <w:t xml:space="preserve"> </w:t>
      </w:r>
      <w:r>
        <w:rPr>
          <w:rtl/>
        </w:rPr>
        <w:t xml:space="preserve">(Family Division) في المحكمة. وجدير بالذكر أن أيلولة حق الملكية العقارية (Right of</w:t>
      </w:r>
      <w:r>
        <w:rPr>
          <w:rtl/>
        </w:rPr>
        <w:t xml:space="preserve"> </w:t>
      </w:r>
      <w:r>
        <w:rPr>
          <w:rtl/>
        </w:rPr>
        <w:t xml:space="preserve">Ownership) وبالكامل إلى الدائن المرتهن عن طريق غلق الرهن، تحرم على هذا الأخير التمتع</w:t>
      </w:r>
      <w:r>
        <w:rPr>
          <w:rtl/>
        </w:rPr>
        <w:t xml:space="preserve"> </w:t>
      </w:r>
      <w:r>
        <w:rPr>
          <w:rtl/>
        </w:rPr>
        <w:t xml:space="preserve">بحق إقامة الدعوى الشخصية، للمطالبة بالتعويض عن الإخلال بالالتزامات الشخصية</w:t>
      </w:r>
      <w:r>
        <w:rPr>
          <w:rtl/>
        </w:rPr>
        <w:t xml:space="preserve"> </w:t>
      </w:r>
      <w:r>
        <w:rPr>
          <w:rtl/>
        </w:rPr>
        <w:t xml:space="preserve">(Personal Covenants). والسبب في ذلك واضح، وهو أيلولة حق الملكية العقارية الكامل</w:t>
      </w:r>
      <w:r>
        <w:rPr>
          <w:rtl/>
        </w:rPr>
        <w:t xml:space="preserve"> </w:t>
      </w:r>
      <w:r>
        <w:rPr>
          <w:rtl/>
        </w:rPr>
        <w:t xml:space="preserve">للدائن المرتهن، كمقابل للوفاء بالدين المضمون بالرهن (٨٥). وإذا أخفق الدائن المرتهن في</w:t>
      </w:r>
      <w:r>
        <w:rPr>
          <w:rtl/>
        </w:rPr>
        <w:t xml:space="preserve"> </w:t>
      </w:r>
      <w:r>
        <w:rPr>
          <w:rtl/>
        </w:rPr>
        <w:t xml:space="preserve">الحصول على المبلغ الكافي الذي يعادل مقدار الدين المضمون بالرهن نتيجة ممارسة حقه في غلق</w:t>
      </w:r>
      <w:r>
        <w:rPr>
          <w:rtl/>
        </w:rPr>
        <w:t xml:space="preserve"> </w:t>
      </w:r>
      <w:r>
        <w:rPr>
          <w:rtl/>
        </w:rPr>
        <w:t xml:space="preserve">الرهن، بسبب زيادة قيمة الدين الموثق بالرهن على قيمة العقار المرهون الذي آلت ملكيته إليه،</w:t>
      </w:r>
      <w:r>
        <w:rPr>
          <w:rtl/>
        </w:rPr>
        <w:t xml:space="preserve"> </w:t>
      </w:r>
      <w:r>
        <w:rPr>
          <w:rtl/>
        </w:rPr>
        <w:t xml:space="preserve">فإن بإمكانه إقامة الدعوى على المدين الراهن لمطالبته بباقي مبلغ الدين على أساس التزامه بالوفاء</w:t>
      </w:r>
      <w:r>
        <w:rPr>
          <w:rtl/>
        </w:rPr>
        <w:t xml:space="preserve"> </w:t>
      </w:r>
      <w:r>
        <w:rPr>
          <w:rtl/>
        </w:rPr>
        <w:t xml:space="preserve">بالدین (Covenant to Repay) الناشيء عن عقد الرهن . إلا أن من مساوىء إقامة هذه الدعوى</w:t>
      </w:r>
      <w:r>
        <w:rPr>
          <w:rtl/>
        </w:rPr>
        <w:t xml:space="preserve"> </w:t>
      </w:r>
      <w:r>
        <w:rPr>
          <w:rtl/>
        </w:rPr>
        <w:t xml:space="preserve">إحياء حق المدين الراهن الإنصافي في فك الرهن. ولا يتمكن الدائن المرتهن من منع المدين الراهن</w:t>
      </w:r>
      <w:r>
        <w:rPr>
          <w:rtl/>
        </w:rPr>
        <w:t xml:space="preserve"> </w:t>
      </w:r>
      <w:r>
        <w:rPr>
          <w:rtl/>
        </w:rPr>
        <w:t xml:space="preserve">من ممارسة حقه الإنصافي في فك الرهن، إلا عن طريق قيامه ببيع العقار إلى الغير (٨٦). وخلاصة</w:t>
      </w:r>
      <w:r>
        <w:rPr>
          <w:rtl/>
        </w:rPr>
        <w:t xml:space="preserve"> </w:t>
      </w:r>
      <w:r>
        <w:rPr>
          <w:rtl/>
        </w:rPr>
        <w:t xml:space="preserve">القول إن فرض غلق الرهن على المدين الراهن مالك العقار المرهون (Landowner) يكون في</w:t>
      </w:r>
      <w:r>
        <w:rPr>
          <w:rtl/>
        </w:rPr>
        <w:t xml:space="preserve"> </w:t>
      </w:r>
      <w:r>
        <w:rPr>
          <w:rtl/>
        </w:rPr>
        <w:t xml:space="preserve">أغلب الأحيان جزاءً لإهماله وتقصيره (Default) في تنفيذ التزاماته الناشئة عن عقد الرهن (۸۷)،</w:t>
      </w:r>
    </w:p>
    <w:p>
      <w:pPr>
        <w:bidi/>
      </w:pPr>
      <w:r>
        <w:rPr>
          <w:rtl/>
        </w:rPr>
        <w:t xml:space="preserve">(85) Chris Davies. op. Cit. P.112.</w:t>
      </w:r>
    </w:p>
    <w:p>
      <w:pPr>
        <w:bidi/>
      </w:pPr>
      <w:r>
        <w:rPr>
          <w:rtl/>
        </w:rPr>
        <w:t xml:space="preserve">(86) Diane Chappelle. op. Cit. P.364.</w:t>
      </w:r>
    </w:p>
    <w:p>
      <w:pPr>
        <w:bidi/>
      </w:pPr>
      <w:r>
        <w:rPr>
          <w:rtl/>
        </w:rPr>
        <w:t xml:space="preserve">(87) Barlow Burke, Joseph Snoe. Property, Examples and Explanations. Fifth Edition.</w:t>
      </w:r>
      <w:r>
        <w:rPr>
          <w:rtl/>
        </w:rPr>
        <w:t xml:space="preserve"> </w:t>
      </w:r>
      <w:r>
        <w:rPr>
          <w:rtl/>
        </w:rPr>
        <w:t xml:space="preserve">Wolters Kluwer, New York. 2016. P.393. see also Pamela Rajapakse “Shanuka Senarath.</w:t>
      </w:r>
      <w:r>
        <w:rPr>
          <w:rtl/>
        </w:rPr>
        <w:t xml:space="preserve"> </w:t>
      </w:r>
      <w:r>
        <w:rPr>
          <w:rtl/>
        </w:rPr>
        <w:t xml:space="preserve">Commercial Law Aspects of Residential Mortgage Securitisation in Australia. Palgrave</w:t>
      </w:r>
      <w:r>
        <w:rPr>
          <w:rtl/>
        </w:rPr>
        <w:t xml:space="preserve"> </w:t>
      </w:r>
      <w:r>
        <w:rPr>
          <w:rtl/>
        </w:rPr>
        <w:t xml:space="preserve">Macmillan.2019. P.71.</w:t>
      </w:r>
    </w:p>
    <w:p>
      <w:r>
        <w:pict>
          <v:rect style="width:0;height:1.5pt" o:hralign="center" o:hrstd="t" o:hr="t"/>
        </w:pict>
      </w:r>
    </w:p>
    <w:p>
      <w:pPr>
        <w:bidi/>
      </w:pPr>
      <w:r>
        <w:rPr>
          <w:rtl/>
        </w:rPr>
        <w:t xml:space="preserve">438 السنة السادسة والثلاثون - مجلة جامعة الإمارات ]</w:t>
      </w:r>
    </w:p>
    <w:p>
      <w:pPr>
        <w:bidi/>
      </w:pPr>
      <w:r>
        <w:rPr>
          <w:rtl/>
        </w:rPr>
        <w:t xml:space="preserve">https://scholarworks.uaeu.ac.ae/sharia_and_law/vol2022/iss91/7</w:t>
      </w:r>
    </w:p>
    <w:p>
      <w:pPr>
        <w:bidi/>
      </w:pPr>
      <w:r>
        <w:rPr>
          <w:rtl/>
        </w:rPr>
        <w:t xml:space="preserve">32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۱۹۹۳، والمادتين (۲۷) و (۲۸) من قانون رهن الأموال المنقولة الاتحادي الإماراتي رقم (٢٠) لسنة ٢٠١٦ التي أجازت غلق الرهن.</w:t>
      </w:r>
    </w:p>
    <w:bookmarkStart w:id="86" w:name="الفرع-الثاني-1"/>
    <w:p>
      <w:pPr>
        <w:pStyle w:val="Heading2"/>
        <w:bidi/>
      </w:pPr>
      <w:r>
        <w:rPr>
          <w:rtl/>
        </w:rPr>
        <w:t xml:space="preserve">الفرع الثاني</w:t>
      </w:r>
    </w:p>
    <w:bookmarkStart w:id="85"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r>
        <w:pict>
          <v:rect style="width:0;height:1.5pt" o:hralign="center" o:hrstd="t" o:hr="t"/>
        </w:pict>
      </w:r>
    </w:p>
    <w:p>
      <w:pPr>
        <w:bidi/>
      </w:pPr>
      <w:r>
        <w:rPr>
          <w:rtl/>
        </w:rPr>
        <w:t xml:space="preserve">(88) Daniel F. Hinkel. op. Cit. P.288.</w:t>
      </w:r>
    </w:p>
    <w:p>
      <w:pPr>
        <w:bidi/>
      </w:pPr>
      <w:r>
        <w:rPr>
          <w:rtl/>
        </w:rPr>
        <w:t xml:space="preserve">(89) Martin Dixon. Modern Land Law. Seventh Edition. Routledge Taylor &amp; Francis Group. London and New York. 2010. P.422.</w:t>
      </w:r>
    </w:p>
    <w:p>
      <w:r>
        <w:pict>
          <v:rect style="width:0;height:1.5pt" o:hralign="center" o:hrstd="t" o:hr="t"/>
        </w:pict>
      </w:r>
    </w:p>
    <w:p>
      <w:pPr>
        <w:bidi/>
      </w:pPr>
      <w:r>
        <w:rPr>
          <w:rtl/>
        </w:rPr>
        <w:t xml:space="preserve">439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33</w:t>
      </w:r>
    </w:p>
    <w:p>
      <w:r>
        <w:pict>
          <v:rect style="width:0;height:1.5pt" o:hralign="center" o:hrstd="t" o:hr="t"/>
        </w:pict>
      </w:r>
    </w:p>
    <w:p>
      <w:pPr>
        <w:bidi/>
      </w:pPr>
      <w:r>
        <w:rPr>
          <w:rtl/>
        </w:rPr>
        <w:t xml:space="preserve">Journal Sharia and Law, Vol. 2022, No. 91 [2022], Art. 7</w:t>
      </w:r>
    </w:p>
    <w:bookmarkEnd w:id="85"/>
    <w:bookmarkEnd w:id="86"/>
    <w:bookmarkEnd w:id="87"/>
    <w:bookmarkStart w:id="111" w:name="Xf4d5c5aff1677f38e3aafee58c50a79eb90d9a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r>
        <w:rPr>
          <w:rtl/>
          <w:vertAlign w:val="superscript"/>
        </w:rPr>
        <w:t xml:space="preserve">(۹۰)</w:t>
      </w:r>
      <w:r>
        <w:rPr>
          <w:rtl/>
        </w:rPr>
        <w:t xml:space="preserve">.</w:t>
      </w:r>
    </w:p>
    <w:bookmarkStart w:id="90" w:name="الفرع-الثالث"/>
    <w:p>
      <w:pPr>
        <w:pStyle w:val="Heading2"/>
        <w:bidi/>
      </w:pPr>
      <w:r>
        <w:rPr>
          <w:rtl/>
        </w:rPr>
        <w:t xml:space="preserve">الفرع الثالث</w:t>
      </w:r>
    </w:p>
    <w:bookmarkStart w:id="88" w:name="X3e5376c1dca988141d6b708314e61ed5af7887d"/>
    <w:p>
      <w:pPr>
        <w:pStyle w:val="Heading3"/>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 (۹۱) تشريع قانون الملكية لعام ١٩٢٥ (</w:t>
      </w:r>
      <w:r>
        <w:t xml:space="preserve">The Law of Property Act 1925</w:t>
      </w:r>
      <w:r>
        <w:rPr>
          <w:rtl/>
        </w:rPr>
        <w:t xml:space="preserve">)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vertAlign w:val="superscript"/>
        </w:rPr>
        <w:t xml:space="preserve">(۹۱)</w:t>
      </w:r>
      <w:r>
        <w:rPr>
          <w:rtl/>
        </w:rPr>
        <w:t xml:space="preserve">. ويرى جانب من الفقه</w:t>
      </w:r>
    </w:p>
    <w:p>
      <w:pPr>
        <w:pStyle w:val="BodyText"/>
      </w:pPr>
      <w:r>
        <w:t xml:space="preserve">(90) Douglas Wood. op. Cit. P.137.</w:t>
      </w:r>
    </w:p>
    <w:p>
      <w:pPr>
        <w:pStyle w:val="BodyText"/>
      </w:pPr>
      <w: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rPr>
        <w:t xml:space="preserve">السنة السادسة والثلاثون - مجلة جامعة الإمارات ] 440</w:t>
      </w:r>
    </w:p>
    <w:p>
      <w:pPr>
        <w:bidi/>
      </w:pPr>
      <w:r>
        <w:rPr>
          <w:rtl/>
        </w:rPr>
        <w:t xml:space="preserve">https://scholarworks.uaeu.ac.ae/sharia_and_law/vol2022/iss91/7</w:t>
      </w:r>
    </w:p>
    <w:p>
      <w:pPr>
        <w:bidi/>
      </w:pPr>
      <w:r>
        <w:rPr>
          <w:rtl/>
        </w:rPr>
        <w:t xml:space="preserve">34</w:t>
      </w:r>
    </w:p>
    <w:p>
      <w:r>
        <w:pict>
          <v:rect style="width:0;height:1.5pt" o:hralign="center" o:hrstd="t" o:hr="t"/>
        </w:pict>
      </w:r>
    </w:p>
    <w:p>
      <w:pPr>
        <w:bidi/>
      </w:pPr>
      <w:r>
        <w:rPr>
          <w:rtl/>
        </w:rPr>
        <w:t xml:space="preserve">Ali: ??? ????? ?? ??????? ????????? ????? ??????? ?????? ?????? ???????? ???????? ???????</w:t>
      </w:r>
    </w:p>
    <w:bookmarkEnd w:id="88"/>
    <w:bookmarkStart w:id="89" w:name="د.يونس-صلاح-الدين-علي-1"/>
    <w:p>
      <w:pPr>
        <w:pStyle w:val="Heading3"/>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w:t>
      </w:r>
    </w:p>
    <w:p>
      <w:pPr>
        <w:bidi/>
      </w:pPr>
      <w:r>
        <w:rPr>
          <w:rtl/>
        </w:rPr>
        <w:t xml:space="preserve">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(٣٣٠) 1993.Ch Palk v Mortgage Services Funding Plc) التي تتلخص وقائعها (٩٤)</w:t>
      </w:r>
    </w:p>
    <w:p>
      <w:pPr>
        <w:bidi/>
      </w:pPr>
      <w:r>
        <w:rPr>
          <w:rtl/>
        </w:rPr>
        <w:t xml:space="preserve">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r>
        <w:rPr>
          <w:rtl/>
        </w:rPr>
        <w:t xml:space="preserve">https://www.lawteacher.net/cases/palk-v-mortgage-services.php</w:t>
      </w:r>
    </w:p>
    <w:p>
      <w:r>
        <w:pict>
          <v:rect style="width:0;height:1.5pt" o:hralign="center" o:hrstd="t" o:hr="t"/>
        </w:pict>
      </w:r>
    </w:p>
    <w:p>
      <w:pPr>
        <w:bidi/>
      </w:pPr>
      <w:r>
        <w:rPr>
          <w:rtl/>
        </w:rPr>
        <w:t xml:space="preserve">441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89"/>
    <w:bookmarkEnd w:id="90"/>
    <w:bookmarkStart w:id="91" w:name="X44b87eb1cf9e0dc701e770d7fe76195be30b25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(74 Holdings Ltd 1994. 2 All ER بأن بإمكان المحكمة أن تصدر أمراً ببيع العقار المرهون، حتى وإن كان حق الدائن المرتهن ثابتاً في ممارسة غلق الرهن (٩٥) .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١٩٧٣، والاتفاق في عقد الرهن على الوفاء بالدين المضمون بالرهن عام ١٩٨٨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 لمزيد من التفصيل حول القضية ينظر الموقع الإلكتروني:</w:t>
      </w:r>
    </w:p>
    <w:p>
      <w:pPr>
        <w:bidi/>
      </w:pPr>
      <w:r>
        <w:rPr>
          <w:rtl/>
        </w:rPr>
        <w:t xml:space="preserve">https://swarb.co.uk/twentieth-century-banking-corporation-ltd-v-wilkinson-chd-1977</w:t>
      </w:r>
    </w:p>
    <w:p>
      <w:pPr>
        <w:bidi/>
      </w:pPr>
      <w:r>
        <w:rPr>
          <w:rtl/>
        </w:rPr>
        <w:t xml:space="preserve">السنة السادسة والثلاثون - مجلة جامعة الإمارات ] 442</w:t>
      </w:r>
    </w:p>
    <w:p>
      <w:pPr>
        <w:bidi/>
      </w:pPr>
      <w:r>
        <w:rPr>
          <w:rtl/>
        </w:rPr>
        <w:t xml:space="preserve">https://scholarworks.uaeu.ac.ae/sharia_and_law/vol2022/iss91/7 36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End w:id="91"/>
    <w:bookmarkStart w:id="93" w:name="الفرع-الرابع"/>
    <w:p>
      <w:pPr>
        <w:pStyle w:val="Heading2"/>
        <w:bidi/>
      </w:pPr>
      <w:r>
        <w:rPr>
          <w:rtl/>
        </w:rPr>
        <w:t xml:space="preserve">الفرع الرابع</w:t>
      </w:r>
    </w:p>
    <w:bookmarkStart w:id="92"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w:t>
      </w:r>
      <w:r>
        <w:rPr>
          <w:rtl/>
        </w:rPr>
        <w:t xml:space="preserve"> </w:t>
      </w:r>
      <w:r>
        <w:rPr>
          <w:rtl/>
          <w:vertAlign w:val="superscript"/>
        </w:rPr>
        <w:t xml:space="preserve">۹۷</w:t>
      </w:r>
      <w:r>
        <w:rPr>
          <w:rtl/>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rPr>
          <w:rtl/>
        </w:rPr>
        <w:t xml:space="preserve"> </w:t>
      </w:r>
      <w:r>
        <w:rPr>
          <w:rtl/>
          <w:vertAlign w:val="superscript"/>
        </w:rPr>
        <w:t xml:space="preserve">۹۸</w:t>
      </w:r>
      <w:r>
        <w:rPr>
          <w:rtl/>
        </w:rPr>
        <w:t xml:space="preserve"> </w:t>
      </w:r>
      <w:r>
        <w:rPr>
          <w:rtl/>
        </w:rPr>
        <w:t xml:space="preserve">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vertAlign w:val="superscript"/>
        </w:rPr>
        <w:t xml:space="preserve">(۹۸)</w:t>
      </w:r>
      <w:r>
        <w:rPr>
          <w:rtl/>
        </w:rPr>
        <w:t xml:space="preserve"> </w:t>
      </w:r>
      <w:r>
        <w:rPr>
          <w:rtl/>
        </w:rPr>
        <w:t xml:space="preserve">يعد الحق الإنصافي (Equitable Right) من الحقوق المستمدة من مبادىء العدالة والإنصاف، وغالباً ما تقضي =</w:t>
      </w:r>
    </w:p>
    <w:p>
      <w:pPr>
        <w:bidi/>
      </w:pPr>
      <w:r>
        <w:rPr>
          <w:rtl/>
        </w:rPr>
        <w:t xml:space="preserve">443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37</w:t>
      </w:r>
    </w:p>
    <w:p>
      <w:r>
        <w:pict>
          <v:rect style="width:0;height:1.5pt" o:hralign="center" o:hrstd="t" o:hr="t"/>
        </w:pict>
      </w:r>
    </w:p>
    <w:p>
      <w:pPr>
        <w:bidi/>
      </w:pPr>
      <w:r>
        <w:rPr>
          <w:rtl/>
        </w:rPr>
        <w:t xml:space="preserve">Journal Sharia and Law, Vol. 2022, No. 91 [2022], Art. 7</w:t>
      </w:r>
    </w:p>
    <w:bookmarkEnd w:id="92"/>
    <w:bookmarkEnd w:id="93"/>
    <w:bookmarkStart w:id="95" w:name="X156803a123da25bb3daca572f031f5929f26f3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hyperlink r:id="rId94">
        <w:r>
          <w:rPr>
            <w:rStyle w:val="Hyperlink"/>
            <w:rtl/>
          </w:rPr>
          <w:t xml:space="preserve">https://en.m.wikipedia.org/wiki/Equitable_right</w:t>
        </w:r>
      </w:hyperlink>
    </w:p>
    <w:p>
      <w:pPr>
        <w:bidi/>
      </w:pPr>
      <w:r>
        <w:rPr>
          <w:rtl/>
        </w:rPr>
        <w:t xml:space="preserve">(99) E. H Burn and J. Cartwright. op. Cit.P.864.</w:t>
      </w:r>
    </w:p>
    <w:p>
      <w:pPr>
        <w:bidi/>
      </w:pPr>
      <w:r>
        <w:rPr>
          <w:rtl/>
        </w:rPr>
        <w:t xml:space="preserve">444 السنة السادسة والثلاثون - مجلة جامعة الإمارات ]</w:t>
      </w:r>
    </w:p>
    <w:p>
      <w:pPr>
        <w:bidi/>
      </w:pPr>
      <w:hyperlink r:id="rId22">
        <w:r>
          <w:rPr>
            <w:rStyle w:val="Hyperlink"/>
            <w:rtl/>
          </w:rPr>
          <w:t xml:space="preserve">https://scholarworks.uaeu.ac.ae/sharia_and_law/vol2022/iss91/7</w:t>
        </w:r>
      </w:hyperlink>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End w:id="95"/>
    <w:bookmarkStart w:id="97" w:name="الفرع-الخامس"/>
    <w:p>
      <w:pPr>
        <w:pStyle w:val="Heading2"/>
        <w:bidi/>
      </w:pPr>
      <w:r>
        <w:rPr>
          <w:rtl/>
        </w:rPr>
        <w:t xml:space="preserve">الفرع الخامس</w:t>
      </w:r>
    </w:p>
    <w:bookmarkStart w:id="96" w:name="إمكانية-إبطال-غلق-الرهن"/>
    <w:p>
      <w:pPr>
        <w:pStyle w:val="Heading3"/>
        <w:bidi/>
      </w:pPr>
      <w:r>
        <w:rPr>
          <w:rtl/>
        </w:rPr>
        <w:t xml:space="preserve">إمكانية إبطال غلق الرهن</w:t>
      </w:r>
    </w:p>
    <w:p>
      <w:pPr>
        <w:bidi/>
      </w:pPr>
      <w:r>
        <w:rPr>
          <w:rtl/>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rPr>
        <w:t xml:space="preserve">(١٠٠) لمزيد من التفصيل حول الموضوع ينظر الموقع الإلكتروني :</w:t>
      </w:r>
    </w:p>
    <w:p>
      <w:pPr>
        <w:bidi/>
      </w:pPr>
      <w:r>
        <w:rPr>
          <w:rtl/>
        </w:rPr>
        <w:t xml:space="preserve">https://quizlet.com/12183004/mortgages-flash-cards/</w:t>
      </w:r>
    </w:p>
    <w:p>
      <w:pPr>
        <w:bidi/>
      </w:pPr>
      <w:r>
        <w:rPr>
          <w:rtl/>
        </w:rPr>
        <w:t xml:space="preserve">(101) E. H Burn and J. Cartwright. op. Cit .P.865.</w: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96"/>
    <w:bookmarkEnd w:id="97"/>
    <w:bookmarkStart w:id="98" w:name="Xaf519f83340ed0a62747ec1f68c91146629acf6"/>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w:t>
      </w:r>
      <w:r>
        <w:rPr>
          <w:rtl/>
        </w:rPr>
        <w:t xml:space="preserve"> </w:t>
      </w:r>
      <w:r>
        <w:rPr>
          <w:rtl/>
        </w:rPr>
        <w:t xml:space="preserve">الراهن. أما في الوقت الحاضر فإن الحماية القانونية التي يتمتع بها المشتري من الدائن المرتهن</w:t>
      </w:r>
      <w:r>
        <w:rPr>
          <w:rtl/>
        </w:rPr>
        <w:t xml:space="preserve"> </w:t>
      </w:r>
      <w:r>
        <w:rPr>
          <w:rtl/>
        </w:rPr>
        <w:t xml:space="preserve">(Purchaser from the Mortgagee)، إذا ما سجل حق ملكيته (Registered Title) تكون أكبر من</w:t>
      </w:r>
      <w:r>
        <w:rPr>
          <w:rtl/>
        </w:rPr>
        <w:t xml:space="preserve"> </w:t>
      </w:r>
      <w:r>
        <w:rPr>
          <w:rtl/>
        </w:rPr>
        <w:t xml:space="preserve">الحماية التي يتمتع بها المدين الراهن (۱۰۲). وفي هذه الحالة لا يمكن للمحكمة إعادة النظر في غلق</w:t>
      </w:r>
      <w:r>
        <w:rPr>
          <w:rtl/>
        </w:rPr>
        <w:t xml:space="preserve"> </w:t>
      </w:r>
      <w:r>
        <w:rPr>
          <w:rtl/>
        </w:rPr>
        <w:t xml:space="preserve">الرهن، تلبية لطلب الدائن المرتهن في إعادة فك الرهن (١٠٣).</w:t>
      </w:r>
    </w:p>
    <w:bookmarkEnd w:id="98"/>
    <w:bookmarkStart w:id="102" w:name="المطلب-الثاني-2"/>
    <w:p>
      <w:pPr>
        <w:pStyle w:val="Heading2"/>
        <w:bidi/>
      </w:pPr>
      <w:r>
        <w:rPr>
          <w:rtl/>
        </w:rPr>
        <w:t xml:space="preserve">المطلب الثاني</w:t>
      </w:r>
    </w:p>
    <w:bookmarkStart w:id="99"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w:t>
      </w:r>
      <w:r>
        <w:rPr>
          <w:rtl/>
        </w:rPr>
        <w:t xml:space="preserve"> </w:t>
      </w:r>
      <w:r>
        <w:rPr>
          <w:rtl/>
        </w:rPr>
        <w:t xml:space="preserve">وهما: بطلان شرط غلق الرهن وبقاء عقد الرهن صحيحاً، أو بطلان شرط غلق الرهن وعقد</w:t>
      </w:r>
      <w:r>
        <w:rPr>
          <w:rtl/>
        </w:rPr>
        <w:t xml:space="preserve"> </w:t>
      </w:r>
      <w:r>
        <w:rPr>
          <w:rtl/>
        </w:rPr>
        <w:t xml:space="preserve">الرهن معاً. وسوف نبحث في هذين الأثرين القانونيين وعلى النحو الآتي:</w:t>
      </w:r>
    </w:p>
    <w:bookmarkEnd w:id="99"/>
    <w:bookmarkStart w:id="100" w:name="الفرع-الأول-2"/>
    <w:p>
      <w:pPr>
        <w:pStyle w:val="Heading3"/>
        <w:bidi/>
      </w:pPr>
      <w:r>
        <w:rPr>
          <w:rtl/>
        </w:rPr>
        <w:t xml:space="preserve">الفرع الأول</w:t>
      </w:r>
    </w:p>
    <w:bookmarkEnd w:id="100"/>
    <w:bookmarkStart w:id="101" w:name="X9f79d92583b53b910e974d7e7812ccc18e762c3"/>
    <w:p>
      <w:pPr>
        <w:pStyle w:val="Heading3"/>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w:t>
      </w:r>
      <w:r>
        <w:rPr>
          <w:rtl/>
        </w:rPr>
        <w:t xml:space="preserve"> </w:t>
      </w:r>
      <w:r>
        <w:rPr>
          <w:rtl/>
        </w:rPr>
        <w:t xml:space="preserve">صحيحاً وكأصل عام. وإذا كانت القاعدة العامة في القانونين الإماراتي والعراقي فيما يتعلق</w:t>
      </w:r>
      <w:r>
        <w:rPr>
          <w:rtl/>
        </w:rPr>
        <w:t xml:space="preserve"> </w:t>
      </w:r>
      <w:r>
        <w:rPr>
          <w:rtl/>
        </w:rPr>
        <w:t xml:space="preserve">بالشروط المقترنة بالعقد أو الشروط التقييدية، بمقتضى الفقرة الأولى من المادة (۱۳۱) من</w:t>
      </w:r>
      <w:r>
        <w:rPr>
          <w:rtl/>
        </w:rPr>
        <w:t xml:space="preserve"> </w:t>
      </w:r>
      <w:r>
        <w:rPr>
          <w:rtl/>
        </w:rPr>
        <w:t xml:space="preserve">القانون المدني العراقي والمادة (٢٠٦) من قانون المعاملات المدنية الاتحادي الإماراتي هي جواز</w:t>
      </w:r>
      <w:r>
        <w:rPr>
          <w:rtl/>
        </w:rPr>
        <w:t xml:space="preserve"> </w:t>
      </w:r>
      <w:r>
        <w:rPr>
          <w:rtl/>
        </w:rPr>
        <w:t xml:space="preserve">اقتران العقد بشرط يؤكد مقتضاه أو يلائمه أو يؤكد ما جرى عليه العرف أو العادة بين الناس</w:t>
      </w:r>
      <w:r>
        <w:rPr>
          <w:rtl/>
        </w:rPr>
        <w:t xml:space="preserve"> </w:t>
      </w:r>
      <w:r>
        <w:rPr>
          <w:rtl/>
        </w:rPr>
        <w:t xml:space="preserve">في التعامل (١٠٤). إذ نصت الفقرة الأولى من المادة (۱۳۱) من القانون المدني العراقي على أنه</w:t>
      </w:r>
    </w:p>
    <w:p>
      <w:r>
        <w:pict>
          <v:rect style="width:0;height:1.5pt" o:hralign="center" o:hrstd="t" o:hr="t"/>
        </w:pic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446 السنة السادسة والثلاثون - مجلة جامعة الإمارات ]</w:t>
      </w:r>
    </w:p>
    <w:p>
      <w:pPr>
        <w:bidi/>
      </w:pPr>
      <w:r>
        <w:rPr>
          <w:rtl/>
        </w:rPr>
        <w:t xml:space="preserve">https://scholarworks.uaeu.ac.ae/sharia_and_law/vol2022/iss91/7</w:t>
      </w:r>
    </w:p>
    <w:p>
      <w:pPr>
        <w:bidi/>
      </w:pPr>
      <w:r>
        <w:rPr>
          <w:rtl/>
        </w:rPr>
        <w:t xml:space="preserve">40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10"/>
        </w:numPr>
        <w:pStyle w:val="Compact"/>
        <w:bidi/>
      </w:pPr>
      <w:r>
        <w:rPr>
          <w:rtl/>
        </w:rPr>
        <w:t xml:space="preserve">يجوز أن يقترن العقد بشرط يؤكد مقتضاه أو يلائمه أو يكون جاريًا به العرف والعادة).</w:t>
      </w:r>
      <w:r>
        <w:rPr>
          <w:rtl/>
        </w:rPr>
        <w:t xml:space="preserve"> </w:t>
      </w:r>
      <w:r>
        <w:rPr>
          <w:rtl/>
        </w:rPr>
        <w:t xml:space="preserve">كما نصت المادة (٢٠٦) من قانون المعاملات المدنية الاتحادي الإماراتي على أنه (يجوز أن يقترن</w:t>
      </w:r>
      <w:r>
        <w:rPr>
          <w:rtl/>
        </w:rPr>
        <w:t xml:space="preserve"> </w:t>
      </w:r>
      <w:r>
        <w:rPr>
          <w:rtl/>
        </w:rPr>
        <w:t xml:space="preserve">العقد بشرط يؤكد مقتضاه أو يلائمه أو جرى به العرف والعادة أو فيه نفع لأحد المتعاقدين أو</w:t>
      </w:r>
      <w:r>
        <w:rPr>
          <w:rtl/>
        </w:rPr>
        <w:t xml:space="preserve"> </w:t>
      </w:r>
      <w:r>
        <w:rPr>
          <w:rtl/>
        </w:rPr>
        <w:t xml:space="preserve">لغيرهما، كل ذلك ما لم يمنعه الشارع أو يخالف النظام العام أو الآداب وإلا بطل الشرط وصح</w:t>
      </w:r>
      <w:r>
        <w:rPr>
          <w:rtl/>
        </w:rPr>
        <w:t xml:space="preserve"> </w:t>
      </w:r>
      <w:r>
        <w:rPr>
          <w:rtl/>
        </w:rPr>
        <w:t xml:space="preserve">العقد، ما لم يكن الشرط هو الدافع إلى التعاقد فيبطل العقد أيضاً). ولكن المشرعين العراقي</w:t>
      </w:r>
      <w:r>
        <w:rPr>
          <w:rtl/>
        </w:rPr>
        <w:t xml:space="preserve"> </w:t>
      </w:r>
      <w:r>
        <w:rPr>
          <w:rtl/>
        </w:rPr>
        <w:t xml:space="preserve">والإماراتي خرجا عن هذه القاعدة فيما يتعلق بشرط غلق الرهن المتمثل بشرطي الاتفاق على</w:t>
      </w:r>
      <w:r>
        <w:rPr>
          <w:rtl/>
        </w:rPr>
        <w:t xml:space="preserve"> </w:t>
      </w:r>
      <w:r>
        <w:rPr>
          <w:rtl/>
        </w:rPr>
        <w:t xml:space="preserve">تملك المال المرهون عند عدم الوفاء، وشرط الطريق الممهد أو الاتفاق على بيع العقار المرهون</w:t>
      </w:r>
      <w:r>
        <w:rPr>
          <w:rtl/>
        </w:rPr>
        <w:t xml:space="preserve"> </w:t>
      </w:r>
      <w:r>
        <w:rPr>
          <w:rtl/>
        </w:rPr>
        <w:t xml:space="preserve">دون المرور بالإجراءات القانونية، وإبطلاهما بموجب الفقرة الثانية من المادة (١٣١) من</w:t>
      </w:r>
      <w:r>
        <w:rPr>
          <w:rtl/>
        </w:rPr>
        <w:t xml:space="preserve"> </w:t>
      </w:r>
      <w:r>
        <w:rPr>
          <w:rtl/>
        </w:rPr>
        <w:t xml:space="preserve">القانون المدني العراقي، والشطر الثاني من المادة (٢٠٦) من قانون المعاملات المدنية الاتحادي</w:t>
      </w:r>
      <w:r>
        <w:rPr>
          <w:rtl/>
        </w:rPr>
        <w:t xml:space="preserve"> </w:t>
      </w:r>
      <w:r>
        <w:rPr>
          <w:rtl/>
        </w:rPr>
        <w:t xml:space="preserve">الإماراتي، على أساس مخالفتهما للنظام العام (١٠٥) . إذ نصت الفقرة الثانية من المادة (١٣١) من</w:t>
      </w:r>
      <w:r>
        <w:rPr>
          <w:rtl/>
        </w:rPr>
        <w:t xml:space="preserve"> </w:t>
      </w:r>
      <w:r>
        <w:rPr>
          <w:rtl/>
        </w:rPr>
        <w:t xml:space="preserve">القانون المدني العراقي على أنه كما يجوز أن يقترن بشرط نفع لأحد العاقدين أو للغير إذا لم يكن</w:t>
      </w:r>
      <w:r>
        <w:rPr>
          <w:rtl/>
        </w:rPr>
        <w:t xml:space="preserve"> </w:t>
      </w:r>
      <w:r>
        <w:rPr>
          <w:rtl/>
        </w:rPr>
        <w:t xml:space="preserve">ممنوعاً قانوناً أو مخالفاً للنظام العام أو للآداب وإلا ألغي الشرط وصح العقد ما لم يكن الشرط</w:t>
      </w:r>
      <w:r>
        <w:rPr>
          <w:rtl/>
        </w:rPr>
        <w:t xml:space="preserve"> </w:t>
      </w:r>
      <w:r>
        <w:rPr>
          <w:rtl/>
        </w:rPr>
        <w:t xml:space="preserve">الدافع إلى التعاقد فيبطل العقد أيضاً). إلا أن البطلان يسري على الشرط وحده من دون عقد</w:t>
      </w:r>
      <w:r>
        <w:rPr>
          <w:rtl/>
        </w:rPr>
        <w:t xml:space="preserve"> </w:t>
      </w:r>
      <w:r>
        <w:rPr>
          <w:rtl/>
        </w:rPr>
        <w:t xml:space="preserve">الرهن، فيلغى الشرط ويبقى عقد الرهن صحيحاً (١٠٦) ، بمقتضى الشطر الأول من الفقرة الثانية</w:t>
      </w:r>
      <w:r>
        <w:rPr>
          <w:rtl/>
        </w:rPr>
        <w:t xml:space="preserve"> </w:t>
      </w:r>
      <w:r>
        <w:rPr>
          <w:rtl/>
        </w:rPr>
        <w:t xml:space="preserve">من المادة (۱۳۱) منه التي قضت ببطلان الشرط التقييدي الممنوع قانوناً أو المخالف للنظام</w:t>
      </w:r>
      <w:r>
        <w:rPr>
          <w:rtl/>
        </w:rPr>
        <w:t xml:space="preserve"> </w:t>
      </w:r>
      <w:r>
        <w:rPr>
          <w:rtl/>
        </w:rPr>
        <w:t xml:space="preserve">العام والآداب، والتي نصت على أنه (كما يجوز أن يقترن (العقد) بشرط فيه نفع لأحد العاقدين</w:t>
      </w:r>
      <w:r>
        <w:rPr>
          <w:rtl/>
        </w:rPr>
        <w:t xml:space="preserve"> </w:t>
      </w:r>
      <w:r>
        <w:rPr>
          <w:rtl/>
        </w:rPr>
        <w:t xml:space="preserve">أو للغير إذا لم يكن ممنوعاً قانوناً أو مخالفاً للنظام العام أو للآداب، وإلا ألغي الشرط وصح</w:t>
      </w:r>
      <w:r>
        <w:rPr>
          <w:rtl/>
        </w:rPr>
        <w:t xml:space="preserve"> </w:t>
      </w:r>
      <w:r>
        <w:rPr>
          <w:rtl/>
        </w:rPr>
        <w:t xml:space="preserve">العقد ما لم يكن الشرط هو الدافع إلى التعاقد فيبطل العقد أيضاً). فبمقتضى هذه الفقرة يعد</w:t>
      </w:r>
      <w:r>
        <w:rPr>
          <w:rtl/>
        </w:rPr>
        <w:t xml:space="preserve"> </w:t>
      </w:r>
      <w:r>
        <w:rPr>
          <w:rtl/>
        </w:rPr>
        <w:t xml:space="preserve">الشرط المقترن بالعقد صحيحاً، مالم يكن شرطاً ممنوعاً قانوناً أو مخالفاً للنظام العام أو الآداب</w:t>
      </w:r>
    </w:p>
    <w:p>
      <w:pPr>
        <w:bidi/>
      </w:pPr>
      <w:r>
        <w:rPr>
          <w:rtl/>
        </w:rPr>
        <w:t xml:space="preserve">ص ۱۷۸.</w:t>
      </w:r>
    </w:p>
    <w:p>
      <w:pPr>
        <w:bidi/>
      </w:pPr>
      <w:r>
        <w:rPr>
          <w:rtl/>
        </w:rPr>
        <w:t xml:space="preserve">(١٠٥) د. عبد المجيد الحكيم الموجز في شرح القانون المدني، الجزء الأول في مصادر الالتزام مع المقارنة بالفقه</w:t>
      </w:r>
      <w:r>
        <w:rPr>
          <w:rtl/>
        </w:rPr>
        <w:t xml:space="preserve"> </w:t>
      </w:r>
      <w:r>
        <w:rPr>
          <w:rtl/>
        </w:rPr>
        <w:t xml:space="preserve">الإسلامي، شركة الطبع والنشر الأهلية، بغداد، ١٩٦٣، ص ١٩٠.</w:t>
      </w:r>
    </w:p>
    <w:p>
      <w:pPr>
        <w:bidi/>
      </w:pPr>
      <w:r>
        <w:rPr>
          <w:rtl/>
        </w:rPr>
        <w:t xml:space="preserve">(١٠٦) محمد طه البشير ود. غني حسون طه. الحقوق العينية. الجزء الثاني. مصدر سابق. ص ٤٣٠ .</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101"/>
    <w:bookmarkEnd w:id="102"/>
    <w:bookmarkStart w:id="103" w:name="X3f1f801583fa463f5bdddbeaf220fe64dca09d5"/>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pPr>
        <w:numPr>
          <w:ilvl w:val="0"/>
          <w:numId w:val="1011"/>
        </w:numPr>
        <w:pStyle w:val="Compact"/>
        <w:bidi/>
      </w:pPr>
      <w:r>
        <w:rPr>
          <w:rtl/>
        </w:rPr>
        <w:t xml:space="preserve">(۱۰۷) 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11"/>
        </w:numPr>
        <w:pStyle w:val="Compact"/>
        <w:bidi/>
      </w:pPr>
      <w:r>
        <w:rPr>
          <w:rtl/>
        </w:rPr>
        <w:t xml:space="preserve">(۱۰۸) د. عصمت عبد المجيد بكر . الوجيز في العقود المدنية المسماة - الرهن مصدر سابق. ص۲۳۰.</w:t>
      </w:r>
    </w:p>
    <w:p>
      <w:pPr>
        <w:numPr>
          <w:ilvl w:val="0"/>
          <w:numId w:val="1011"/>
        </w:numPr>
        <w:pStyle w:val="Compact"/>
        <w:bidi/>
      </w:pPr>
      <w:r>
        <w:rPr>
          <w:rtl/>
        </w:rPr>
        <w:t xml:space="preserve">(۱۰۹) د. عبد الرزاق أحمد السنهوري. الوسيط في شرح القانون المدني. ج ١٠. مصدر سابق، ص۳۳۲.</w:t>
      </w:r>
    </w:p>
    <w:p>
      <w:pPr>
        <w:numPr>
          <w:ilvl w:val="0"/>
          <w:numId w:val="1011"/>
        </w:numPr>
        <w:pStyle w:val="Compact"/>
        <w:bidi/>
      </w:pPr>
      <w:r>
        <w:rPr>
          <w:rtl/>
        </w:rPr>
        <w:t xml:space="preserve">(۱۱۰) د. عصمت عبد المجيد بكر . الوجيز في العقود المدنية المسماة الرهن. مصدر سابق. ص۲۲۸.</w:t>
      </w:r>
    </w:p>
    <w:p>
      <w:pPr>
        <w:numPr>
          <w:ilvl w:val="0"/>
          <w:numId w:val="1011"/>
        </w:numPr>
        <w:pStyle w:val="Compact"/>
        <w:bidi/>
      </w:pPr>
      <w:r>
        <w:rPr>
          <w:rtl/>
        </w:rPr>
        <w:t xml:space="preserve">(۱۱۱) محمد طه البشير ود. غني حسون طه الحقوق العينية. الجزء الثاني. مصدر سابق. ص ٤٣١ .</w:t>
      </w:r>
    </w:p>
    <w:p>
      <w:pPr>
        <w:numPr>
          <w:ilvl w:val="0"/>
          <w:numId w:val="1011"/>
        </w:numPr>
        <w:pStyle w:val="Compact"/>
        <w:bidi/>
      </w:pPr>
      <w:r>
        <w:rPr>
          <w:rtl/>
        </w:rPr>
        <w:t xml:space="preserve">(۱۱۲) د. طارق كاظم عجيل. الحقوق العينية الأصلية. الجزء الأول. حق الملكية دار السنهوري. بيروت لبنان. ۲۰۱۹. ص ۱۷.</w:t>
      </w:r>
    </w:p>
    <w:p>
      <w:pPr>
        <w:bidi/>
      </w:pPr>
      <w:r>
        <w:rPr>
          <w:rtl/>
        </w:rPr>
        <w:t xml:space="preserve">448</w:t>
      </w:r>
    </w:p>
    <w:p>
      <w:pPr>
        <w:bidi/>
      </w:pPr>
      <w:r>
        <w:rPr>
          <w:rtl/>
        </w:rPr>
        <w:t xml:space="preserve">السنة السادسة والثلاثون - مجلة جامعة الإمارات ]</w:t>
      </w:r>
    </w:p>
    <w:p>
      <w:pPr>
        <w:bidi/>
      </w:pPr>
      <w:r>
        <w:rPr>
          <w:rtl/>
        </w:rPr>
        <w:t xml:space="preserve">42</w:t>
      </w:r>
    </w:p>
    <w:p>
      <w:pPr>
        <w:bidi/>
      </w:pPr>
      <w:r>
        <w:rPr>
          <w:rtl/>
        </w:rPr>
        <w:t xml:space="preserve">https://scholarworks.uaeu.ac.ae/sharia_and_law/vol2022/iss91/7</w:t>
      </w:r>
    </w:p>
    <w:p>
      <w:r>
        <w:pict>
          <v:rect style="width:0;height:1.5pt" o:hralign="center" o:hrstd="t" o:hr="t"/>
        </w:pict>
      </w:r>
    </w:p>
    <w:p>
      <w:pPr>
        <w:bidi/>
      </w:pPr>
      <w:r>
        <w:rPr>
          <w:rtl/>
        </w:rPr>
        <w:t xml:space="preserve">د. يونس صلاح الدين علي]</w:t>
      </w:r>
    </w:p>
    <w:bookmarkEnd w:id="103"/>
    <w:bookmarkStart w:id="105" w:name="الفرع-الثاني-2"/>
    <w:p>
      <w:pPr>
        <w:pStyle w:val="Heading2"/>
        <w:bidi/>
      </w:pPr>
      <w:r>
        <w:rPr>
          <w:rtl/>
        </w:rPr>
        <w:t xml:space="preserve">الفرع الثاني</w:t>
      </w:r>
    </w:p>
    <w:bookmarkStart w:id="104"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pPr>
        <w:numPr>
          <w:ilvl w:val="0"/>
          <w:numId w:val="1012"/>
        </w:numPr>
        <w:pStyle w:val="Compact"/>
        <w:bidi/>
      </w:pPr>
      <w:r>
        <w:rPr>
          <w:rtl/>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numPr>
          <w:ilvl w:val="0"/>
          <w:numId w:val="1012"/>
        </w:numPr>
        <w:pStyle w:val="Compact"/>
        <w:bidi/>
      </w:pPr>
      <w:r>
        <w:rPr>
          <w:rtl/>
        </w:rPr>
        <w:t xml:space="preserve">(114) Dan E. Stigall. Iraqi Civil Law: Its Sources Substance and Sundering. Journal of Transnational Law &amp; Policy. Volume 16. Number 1.2006. P.30.</w:t>
      </w:r>
    </w:p>
    <w:p>
      <w:pPr>
        <w:numPr>
          <w:ilvl w:val="0"/>
          <w:numId w:val="1012"/>
        </w:numPr>
        <w:pStyle w:val="Compact"/>
        <w:bidi/>
      </w:pPr>
      <w:r>
        <w:rPr>
          <w:rtl/>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numPr>
          <w:ilvl w:val="0"/>
          <w:numId w:val="1012"/>
        </w:numPr>
        <w:pStyle w:val="Compact"/>
        <w:bidi/>
      </w:pPr>
      <w:r>
        <w:rPr>
          <w:rtl/>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numPr>
          <w:ilvl w:val="0"/>
          <w:numId w:val="1012"/>
        </w:numPr>
        <w:pStyle w:val="Compact"/>
        <w:bidi/>
      </w:pPr>
      <w:r>
        <w:rPr>
          <w:rtl/>
        </w:rPr>
        <w:t xml:space="preserve">(۱۱۷) د. عبد الرزاق أحمد السنهوري. الوسيط في شرح القانون المدني . ج ۱۰ . مصدر سابق. ص ٣٣٤.</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bidi/>
      </w:pPr>
      <w:r>
        <w:rPr>
          <w:rtl/>
        </w:rPr>
        <w:t xml:space="preserve">Journal Sharia and Law, Vol. 2022, No. 91 [2022], Art. 7</w:t>
      </w:r>
    </w:p>
    <w:bookmarkEnd w:id="104"/>
    <w:bookmarkEnd w:id="105"/>
    <w:bookmarkStart w:id="106" w:name="X9fb1c887241efd28a2fa4814678993065e416ff"/>
    <w:p>
      <w:pPr>
        <w:pStyle w:val="Heading2"/>
        <w:bidi/>
      </w:pPr>
      <w:r>
        <w:rPr>
          <w:rtl/>
        </w:rPr>
        <w:t xml:space="preserve">غلق الرهن في القانون الإنجليزي دراسة تحليلية مقارنة بالفقه الإسلامي والقانون المقارن]</w:t>
      </w:r>
    </w:p>
    <w:bookmarkEnd w:id="106"/>
    <w:bookmarkStart w:id="108" w:name="الخاتمة"/>
    <w:p>
      <w:pPr>
        <w:pStyle w:val="Heading2"/>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7" w:name="Xd6850b7e4b3348c647e88a1e61156efdc53b58e"/>
    <w:p>
      <w:pPr>
        <w:pStyle w:val="Heading3"/>
        <w:bidi/>
      </w:pPr>
      <w:r>
        <w:rPr>
          <w:rtl/>
        </w:rPr>
        <w:t xml:space="preserve">أولاً: النتائج : وقد توصلت الدراسة إلى النتائج الآتية:</w:t>
      </w:r>
    </w:p>
    <w:p>
      <w:pPr>
        <w:numPr>
          <w:ilvl w:val="0"/>
          <w:numId w:val="1013"/>
        </w:numPr>
        <w:pStyle w:val="Compact"/>
        <w:bidi/>
      </w:pPr>
      <w:r>
        <w:rPr>
          <w:rtl/>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3"/>
        </w:numPr>
        <w:pStyle w:val="Compact"/>
        <w:bidi/>
      </w:pPr>
      <w:r>
        <w:rPr>
          <w:rtl/>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3"/>
        </w:numPr>
        <w:pStyle w:val="Compact"/>
        <w:bidi/>
      </w:pPr>
      <w:r>
        <w:rPr>
          <w:rtl/>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rPr>
        <w:t xml:space="preserve">450 السنة السادسة والثلاثون - مجلة جامعة الإمارات ]</w:t>
      </w:r>
    </w:p>
    <w:p>
      <w:pPr>
        <w:bidi/>
      </w:pPr>
      <w:r>
        <w:rPr>
          <w:rtl/>
        </w:rPr>
        <w:t xml:space="preserve">https://scholarworks.uaeu.ac.ae/sharia_and_law/vol2022/iss91/7</w:t>
      </w:r>
    </w:p>
    <w:p>
      <w:pPr>
        <w:bidi/>
      </w:pPr>
      <w:r>
        <w:rPr>
          <w:rtl/>
        </w:rPr>
        <w:t xml:space="preserve">44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rPr>
        <w:t xml:space="preserve">٥)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rPr>
        <w:t xml:space="preserve">(٧) 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rPr>
        <w:t xml:space="preserve">451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45</w:t>
      </w:r>
    </w:p>
    <w:p>
      <w:r>
        <w:pict>
          <v:rect style="width:0;height:1.5pt" o:hralign="center" o:hrstd="t" o:hr="t"/>
        </w:pict>
      </w:r>
    </w:p>
    <w:p>
      <w:pPr>
        <w:bidi/>
      </w:pPr>
      <w:r>
        <w:rPr>
          <w:rtl/>
        </w:rPr>
        <w:t xml:space="preserve">Journal Sharia and Law, Vol. 2022, No. 91 [2022], Art. 7</w:t>
      </w:r>
    </w:p>
    <w:bookmarkEnd w:id="107"/>
    <w:bookmarkEnd w:id="108"/>
    <w:bookmarkStart w:id="110" w:name="X2bfe2aa31128df96734b0b618ad9e1b08fdaf2c"/>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(١٧٦) من قانون المعاملات التجارية الاتحادي الإماراتي رقم (۱۸) لسنة ١٩٩٣، والمادتان (٢٧) و (٢٨) من قانون رهن الأموال المنقولة الاتحادي الإماراتي رقم (٢٠) لسنة ٢٠١٦.</w:t>
      </w:r>
    </w:p>
    <w:p>
      <w:pPr>
        <w:bidi/>
      </w:pPr>
      <w:r>
        <w:rPr>
          <w:rtl/>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09" w:name="ثانيا-التوصيات"/>
    <w:p>
      <w:pPr>
        <w:pStyle w:val="Heading3"/>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bidi/>
      </w:pPr>
      <w:r>
        <w:rPr>
          <w:rtl/>
        </w:rPr>
        <w:t xml:space="preserve">١ - 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w:t>
      </w:r>
    </w:p>
    <w:p>
      <w:pPr>
        <w:bidi/>
      </w:pPr>
      <w:r>
        <w:rPr>
          <w:rtl/>
        </w:rPr>
        <w:t xml:space="preserve">https://scholarworks.uaeu.ac.ae/sharia_and_law/vol2022/iss91/7</w:t>
      </w:r>
    </w:p>
    <w:p>
      <w:pPr>
        <w:bidi/>
      </w:pPr>
      <w:r>
        <w:rPr>
          <w:rtl/>
        </w:rPr>
        <w:t xml:space="preserve">46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p>
      <w:pPr>
        <w:bidi/>
      </w:pPr>
      <w:r>
        <w:rPr>
          <w:rtl/>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p>
      <w:pPr>
        <w:bidi/>
      </w:pPr>
      <w:r>
        <w:rPr>
          <w:rtl/>
        </w:rPr>
        <w:t xml:space="preserve">453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47</w:t>
      </w:r>
    </w:p>
    <w:p>
      <w:r>
        <w:pict>
          <v:rect style="width:0;height:1.5pt" o:hralign="center" o:hrstd="t" o:hr="t"/>
        </w:pict>
      </w:r>
    </w:p>
    <w:p>
      <w:pPr>
        <w:bidi/>
      </w:pPr>
      <w:r>
        <w:rPr>
          <w:rtl/>
        </w:rPr>
        <w:t xml:space="preserve">Journal Sharia and Law, Vol. 2022, No. 91 [2022], Art. 7</w:t>
      </w:r>
    </w:p>
    <w:bookmarkEnd w:id="109"/>
    <w:bookmarkEnd w:id="110"/>
    <w:bookmarkEnd w:id="111"/>
    <w:bookmarkStart w:id="112" w:name="Xc1954072ff2ad2d5a6e61d92fe1db850e60c76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4"/>
        </w:numPr>
        <w:bidi/>
      </w:pPr>
      <w:r>
        <w:rPr>
          <w:rtl/>
        </w:rPr>
        <w:t xml:space="preserve">٤ - 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4"/>
        </w:numPr>
        <w:bidi/>
      </w:pPr>
      <w:r>
        <w:rPr>
          <w:rtl/>
        </w:rPr>
        <w:t xml:space="preserve">ه - 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pStyle w:val="BodyText"/>
      </w:pPr>
      <w:r>
        <w:t xml:space="preserve">https://scholarworks.uaeu.ac.ae/sharia_and_law/vol2022/iss91/7</w:t>
      </w:r>
    </w:p>
    <w:p>
      <w:pPr>
        <w:pStyle w:val="BodyText"/>
      </w:pPr>
      <w:r>
        <w:t xml:space="preserve">48</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12"/>
    <w:bookmarkStart w:id="130" w:name="المصادر"/>
    <w:p>
      <w:pPr>
        <w:pStyle w:val="Heading1"/>
        <w:bidi/>
      </w:pPr>
      <w:r>
        <w:rPr>
          <w:rtl/>
        </w:rPr>
        <w:t xml:space="preserve">المصادر</w:t>
      </w:r>
    </w:p>
    <w:bookmarkStart w:id="115" w:name="أولا-المصادر-باللغة-العربية."/>
    <w:p>
      <w:pPr>
        <w:pStyle w:val="Heading2"/>
        <w:bidi/>
      </w:pPr>
      <w:r>
        <w:rPr>
          <w:rtl/>
        </w:rPr>
        <w:t xml:space="preserve">أولاً: المصادر باللغة العربية.</w:t>
      </w:r>
    </w:p>
    <w:bookmarkStart w:id="113" w:name="أ.-كتب-الحديث-الشريف"/>
    <w:p>
      <w:pPr>
        <w:pStyle w:val="Heading3"/>
        <w:bidi/>
      </w:pPr>
      <w:r>
        <w:rPr>
          <w:rtl/>
        </w:rPr>
        <w:t xml:space="preserve">أ. كتب الحديث الشريف</w:t>
      </w:r>
    </w:p>
    <w:p>
      <w:pPr>
        <w:numPr>
          <w:ilvl w:val="0"/>
          <w:numId w:val="1015"/>
        </w:numPr>
        <w:pStyle w:val="Compact"/>
        <w:bidi/>
      </w:pPr>
      <w:r>
        <w:rPr>
          <w:rtl/>
        </w:rPr>
        <w:t xml:space="preserve">١)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5"/>
        </w:numPr>
        <w:pStyle w:val="Compact"/>
        <w:bidi/>
      </w:pPr>
      <w:r>
        <w:rPr>
          <w:rtl/>
        </w:rPr>
        <w:t xml:space="preserve">۲) 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13"/>
    <w:bookmarkStart w:id="114" w:name="ب.-كتب-الفقه-الإسلامي"/>
    <w:p>
      <w:pPr>
        <w:pStyle w:val="Heading3"/>
        <w:bidi/>
      </w:pPr>
      <w:r>
        <w:rPr>
          <w:rtl/>
        </w:rPr>
        <w:t xml:space="preserve">ب. كتب الفقه الإسلامي</w:t>
      </w:r>
    </w:p>
    <w:p>
      <w:pPr>
        <w:numPr>
          <w:ilvl w:val="0"/>
          <w:numId w:val="1016"/>
        </w:numPr>
        <w:pStyle w:val="Compact"/>
        <w:bidi/>
      </w:pPr>
      <w:r>
        <w:rPr>
          <w:rtl/>
        </w:rPr>
        <w:t xml:space="preserve">1) أبو الحسن علي بن عبد السلام التسولي. البهجة في شرح التحفة. الجزء الأول. الطبعة الأولى. دار الكتب العلمية بيروت . لبنان. ۱۹۹۸.</w:t>
      </w:r>
    </w:p>
    <w:p>
      <w:pPr>
        <w:numPr>
          <w:ilvl w:val="0"/>
          <w:numId w:val="1016"/>
        </w:numPr>
        <w:pStyle w:val="Compact"/>
        <w:bidi/>
      </w:pPr>
      <w:r>
        <w:rPr>
          <w:rtl/>
        </w:rPr>
        <w:t xml:space="preserve">۲) شمس الدين السرخسي المبسوط . الجزء الثاني عشر. دار المعرفة بيروت. ١٩٨٩.</w:t>
      </w:r>
    </w:p>
    <w:p>
      <w:pPr>
        <w:numPr>
          <w:ilvl w:val="0"/>
          <w:numId w:val="1016"/>
        </w:numPr>
        <w:pStyle w:val="Compact"/>
        <w:bidi/>
      </w:pPr>
      <w:r>
        <w:rPr>
          <w:rtl/>
        </w:rPr>
        <w:t xml:space="preserve">) 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6"/>
        </w:numPr>
        <w:pStyle w:val="Compact"/>
        <w:bidi/>
      </w:pPr>
      <w:r>
        <w:rPr>
          <w:rtl/>
        </w:rPr>
        <w:t xml:space="preserve">٤)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6"/>
        </w:numPr>
        <w:pStyle w:val="Compact"/>
        <w:bidi/>
      </w:pPr>
      <w:r>
        <w:rPr>
          <w:rtl/>
        </w:rPr>
        <w:t xml:space="preserve">٥)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6"/>
        </w:numPr>
        <w:pStyle w:val="Compact"/>
        <w:bidi/>
      </w:pPr>
      <w:r>
        <w:rPr>
          <w:rtl/>
        </w:rPr>
        <w:t xml:space="preserve">٦) د. وهبة الزحيلي الفقه الإسلامي وأدلته الشامل للأدلة الشرعية والآراء المذهبية</w:t>
      </w:r>
    </w:p>
    <w:p>
      <w:pPr>
        <w:bidi/>
      </w:pPr>
      <w:r>
        <w:rPr>
          <w:rtl/>
        </w:rPr>
        <w:t xml:space="preserve">455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49</w:t>
      </w:r>
    </w:p>
    <w:p>
      <w:r>
        <w:pict>
          <v:rect style="width:0;height:1.5pt" o:hralign="center" o:hrstd="t" o:hr="t"/>
        </w:pict>
      </w:r>
    </w:p>
    <w:p>
      <w:pPr>
        <w:bidi/>
      </w:pPr>
      <w:r>
        <w:rPr>
          <w:rtl/>
        </w:rPr>
        <w:t xml:space="preserve">Journal Sharia and Law, Vol. 2022, No. 91 [2022], Art. 7</w:t>
      </w:r>
    </w:p>
    <w:bookmarkEnd w:id="114"/>
    <w:bookmarkEnd w:id="115"/>
    <w:bookmarkStart w:id="117" w:name="Xb371c86502e79c8e83d6661dc9474b916048613"/>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6" w:name="ج.-الكتب-القانونية."/>
    <w:p>
      <w:pPr>
        <w:pStyle w:val="Heading3"/>
        <w:bidi/>
      </w:pPr>
      <w:r>
        <w:rPr>
          <w:rtl/>
        </w:rPr>
        <w:t xml:space="preserve">ج. الكتب القانونية.</w:t>
      </w:r>
    </w:p>
    <w:p>
      <w:pPr>
        <w:numPr>
          <w:ilvl w:val="0"/>
          <w:numId w:val="1017"/>
        </w:numPr>
        <w:pStyle w:val="Compact"/>
        <w:bidi/>
      </w:pPr>
      <w:r>
        <w:rPr>
          <w:rtl/>
        </w:rPr>
        <w:t xml:space="preserve">۱) 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۲۰۱۷.</w:t>
      </w:r>
    </w:p>
    <w:p>
      <w:pPr>
        <w:numPr>
          <w:ilvl w:val="0"/>
          <w:numId w:val="1017"/>
        </w:numPr>
        <w:pStyle w:val="Compact"/>
        <w:bidi/>
      </w:pPr>
      <w:r>
        <w:rPr>
          <w:rtl/>
        </w:rPr>
        <w:t xml:space="preserve">٢) أدموندس ملكا. شرح القانون الإنجليزي في ثمانية أجزاء. الطبعة الأولى. مطبعة مصر شركة مساهمة مصرية. ١٩٥٤.</w:t>
      </w:r>
    </w:p>
    <w:p>
      <w:pPr>
        <w:numPr>
          <w:ilvl w:val="0"/>
          <w:numId w:val="1017"/>
        </w:numPr>
        <w:pStyle w:val="Compact"/>
        <w:bidi/>
      </w:pPr>
      <w:r>
        <w:rPr>
          <w:rtl/>
        </w:rPr>
        <w:t xml:space="preserve">۳) د. الشافعي عبد الرحمن السيد عوض. عقد الرهن في الشريعة الإسلامية دراسة مقارنة. مكتبة الوفاء الإسكندرية. ٢٠١١.</w:t>
      </w:r>
    </w:p>
    <w:p>
      <w:pPr>
        <w:numPr>
          <w:ilvl w:val="0"/>
          <w:numId w:val="1017"/>
        </w:numPr>
        <w:pStyle w:val="Compact"/>
        <w:bidi/>
      </w:pPr>
      <w:r>
        <w:rPr>
          <w:rtl/>
        </w:rPr>
        <w:t xml:space="preserve">٤) د. جورج شدراوي. حق الملكية العقارية مع ملحق عن: حق التصرف-حق الانتفاع. الطبعة الثانية. شركة المؤسسة الحديثة للكتاب. لبنان. ٢٠١٧.</w:t>
      </w:r>
    </w:p>
    <w:p>
      <w:pPr>
        <w:numPr>
          <w:ilvl w:val="0"/>
          <w:numId w:val="1017"/>
        </w:numPr>
        <w:pStyle w:val="Compact"/>
        <w:bidi/>
      </w:pPr>
      <w:r>
        <w:rPr>
          <w:rtl/>
        </w:rPr>
        <w:t xml:space="preserve">ه) د. حسان عبد الغني الخطيب، القانون العام، منشورات زين الحقوقية، بيروت، لبنان، ۲۰۱۲.</w:t>
      </w:r>
    </w:p>
    <w:p>
      <w:pPr>
        <w:numPr>
          <w:ilvl w:val="0"/>
          <w:numId w:val="1017"/>
        </w:numPr>
        <w:pStyle w:val="Compact"/>
        <w:bidi/>
      </w:pPr>
      <w:r>
        <w:rPr>
          <w:rtl/>
        </w:rPr>
        <w:t xml:space="preserve">٦) د. حسن علي الذنون. أصول الالتزام. مطبعة المعارف. بغداد. ۱۹۷۰.</w:t>
      </w:r>
    </w:p>
    <w:p>
      <w:pPr>
        <w:numPr>
          <w:ilvl w:val="0"/>
          <w:numId w:val="1017"/>
        </w:numPr>
        <w:pStyle w:val="Compact"/>
        <w:bidi/>
      </w:pPr>
      <w:r>
        <w:rPr>
          <w:rtl/>
        </w:rPr>
        <w:t xml:space="preserve">٧) د. درع حماد. الحقوق العينية الأصلية. حق الملكية والحقوق المتفرعة عنها. دار السنهوري. بيروت لبنان. ۲۰۱۸.</w:t>
      </w:r>
    </w:p>
    <w:p>
      <w:pPr>
        <w:numPr>
          <w:ilvl w:val="0"/>
          <w:numId w:val="1017"/>
        </w:numPr>
        <w:pStyle w:val="Compact"/>
        <w:bidi/>
      </w:pPr>
      <w:r>
        <w:rPr>
          <w:rtl/>
        </w:rPr>
        <w:t xml:space="preserve">٨) د. درع حماد. النظرية العامة للالتزامات القسم الأول. مصادر الالتزام. مكتبة السنهوري. بيروت. ٢٠١٦.</w:t>
      </w:r>
    </w:p>
    <w:p>
      <w:pPr>
        <w:numPr>
          <w:ilvl w:val="0"/>
          <w:numId w:val="1017"/>
        </w:numPr>
        <w:pStyle w:val="Compact"/>
        <w:bidi/>
      </w:pPr>
      <w:r>
        <w:rPr>
          <w:rtl/>
        </w:rPr>
        <w:t xml:space="preserve">۹) د. سمير عبد السيد تناغو. التأمينات الشخصية والعينية، الكفالة-الرهن الرسمي- حق الاختصاص - الرهن الحيازي - حقوق الامتياز. مطبعة أطلس القاهرة. ١٩٩٤.</w:t>
      </w:r>
    </w:p>
    <w:p>
      <w:pPr>
        <w:numPr>
          <w:ilvl w:val="0"/>
          <w:numId w:val="1017"/>
        </w:numPr>
        <w:pStyle w:val="Compact"/>
        <w:bidi/>
      </w:pPr>
      <w:r>
        <w:rPr>
          <w:rtl/>
        </w:rPr>
        <w:t xml:space="preserve">۱۰) د. صلاح الدين الناهي الوجيز في التأمينات الشخصية والعينية. دار المعرفة، بغداد.</w:t>
      </w:r>
    </w:p>
    <w:p>
      <w:pPr>
        <w:bidi/>
      </w:pPr>
      <w:r>
        <w:rPr>
          <w:rtl/>
        </w:rPr>
        <w:t xml:space="preserve">456 السنة السادسة والثلاثون - مجلة جامعة الإمارات ]</w:t>
      </w:r>
    </w:p>
    <w:p>
      <w:pPr>
        <w:bidi/>
      </w:pPr>
      <w:r>
        <w:rPr>
          <w:rtl/>
        </w:rPr>
        <w:t xml:space="preserve">https://scholarworks.uaeu.ac.ae/sharia_and_law/vol2022/iss91/7</w:t>
      </w:r>
    </w:p>
    <w:p>
      <w:pPr>
        <w:bidi/>
      </w:pPr>
      <w:r>
        <w:rPr>
          <w:rtl/>
        </w:rPr>
        <w:t xml:space="preserve">50</w:t>
      </w:r>
    </w:p>
    <w:p>
      <w:r>
        <w:pict>
          <v:rect style="width:0;height:1.5pt" o:hralign="center" o:hrstd="t" o:hr="t"/>
        </w:pict>
      </w:r>
    </w:p>
    <w:p>
      <w:pPr>
        <w:bidi/>
      </w:pPr>
      <w:r>
        <w:rPr>
          <w:rtl/>
        </w:rPr>
        <w:t xml:space="preserve">Ali: ??? ????? ?? ??????? ????????? ????? ??????? ?????? ?????? ???????? ???????? ???????</w:t>
      </w:r>
      <w:r>
        <w:rPr>
          <w:rtl/>
        </w:rPr>
        <w:t xml:space="preserve"> </w:t>
      </w:r>
      <w:r>
        <w:rPr>
          <w:rtl/>
        </w:rPr>
        <w:t xml:space="preserve">د. يونس صلاح الدين علي]</w:t>
      </w:r>
    </w:p>
    <w:p>
      <w:pPr>
        <w:bidi/>
      </w:pPr>
      <w:r>
        <w:rPr>
          <w:rtl/>
        </w:rPr>
        <w:t xml:space="preserve">.١٩٥٣</w:t>
      </w:r>
    </w:p>
    <w:p>
      <w:pPr>
        <w:numPr>
          <w:ilvl w:val="0"/>
          <w:numId w:val="1018"/>
        </w:numPr>
        <w:pStyle w:val="Compact"/>
        <w:bidi/>
      </w:pPr>
      <w:r>
        <w:rPr>
          <w:rtl/>
        </w:rPr>
        <w:t xml:space="preserve">د.طارق كاظم عجيل. الحقوق العينية الأصلية. الجزء الأول. حق الملكية. دار</w:t>
      </w:r>
      <w:r>
        <w:rPr>
          <w:rtl/>
        </w:rPr>
        <w:t xml:space="preserve"> </w:t>
      </w:r>
      <w:r>
        <w:rPr>
          <w:rtl/>
        </w:rPr>
        <w:t xml:space="preserve">السنهوري. بيروت، لبنان. ۲۰۱۹.</w:t>
      </w:r>
    </w:p>
    <w:p>
      <w:pPr>
        <w:numPr>
          <w:ilvl w:val="0"/>
          <w:numId w:val="1018"/>
        </w:numPr>
        <w:pStyle w:val="Compact"/>
        <w:bidi/>
      </w:pPr>
      <w:r>
        <w:rPr>
          <w:rtl/>
        </w:rPr>
        <w:t xml:space="preserve">د. عبد الرزاق أحمد السنهوري. الوسيط في شرح القانون المدني. الجزء العاشر.</w:t>
      </w:r>
      <w:r>
        <w:rPr>
          <w:rtl/>
        </w:rPr>
        <w:t xml:space="preserve"> </w:t>
      </w:r>
      <w:r>
        <w:rPr>
          <w:rtl/>
        </w:rPr>
        <w:t xml:space="preserve">التأمينات الشخصية والعينية. تنقيح المستشار أحمد مدحت المراغي. منشأة المعارف</w:t>
      </w:r>
      <w:r>
        <w:rPr>
          <w:rtl/>
        </w:rPr>
        <w:t xml:space="preserve"> </w:t>
      </w:r>
      <w:r>
        <w:rPr>
          <w:rtl/>
        </w:rPr>
        <w:t xml:space="preserve">بالإسكندرية . ٢٠٠٤.</w:t>
      </w:r>
    </w:p>
    <w:p>
      <w:pPr>
        <w:numPr>
          <w:ilvl w:val="0"/>
          <w:numId w:val="1018"/>
        </w:numPr>
        <w:pStyle w:val="Compact"/>
        <w:bidi/>
      </w:pPr>
      <w:r>
        <w:rPr>
          <w:rtl/>
        </w:rPr>
        <w:t xml:space="preserve">د. عبد الرزاق السنهوري مصادر الحق في الفقه الإسلامي. الجزء الثالث. محل</w:t>
      </w:r>
      <w:r>
        <w:rPr>
          <w:rtl/>
        </w:rPr>
        <w:t xml:space="preserve"> </w:t>
      </w:r>
      <w:r>
        <w:rPr>
          <w:rtl/>
        </w:rPr>
        <w:t xml:space="preserve">العقد. الطبعة الثانية. منشورات الحلبي الحقوقية. بيروت لبنان. ١٩٩٨.</w:t>
      </w:r>
    </w:p>
    <w:p>
      <w:pPr>
        <w:numPr>
          <w:ilvl w:val="0"/>
          <w:numId w:val="1018"/>
        </w:numPr>
        <w:pStyle w:val="Compact"/>
        <w:bidi/>
      </w:pPr>
      <w:r>
        <w:rPr>
          <w:rtl/>
        </w:rPr>
        <w:t xml:space="preserve">د. عبد السلام الترمانيني القانون المقارن المناهج القانونية الكبرى المعاصرة.</w:t>
      </w:r>
      <w:r>
        <w:rPr>
          <w:rtl/>
        </w:rPr>
        <w:t xml:space="preserve"> </w:t>
      </w:r>
      <w:r>
        <w:rPr>
          <w:rtl/>
        </w:rPr>
        <w:t xml:space="preserve">مطبوعات جامعة الكويت . الطبعة الثانية. ١٩٨٢.</w:t>
      </w:r>
    </w:p>
    <w:p>
      <w:pPr>
        <w:numPr>
          <w:ilvl w:val="0"/>
          <w:numId w:val="1018"/>
        </w:numPr>
        <w:pStyle w:val="Compact"/>
        <w:bidi/>
      </w:pPr>
      <w:r>
        <w:rPr>
          <w:rtl/>
        </w:rPr>
        <w:t xml:space="preserve">د.عبد المجيد الحكيم الموجز في شرح القانون المدني. الجزء الأول في مصادر</w:t>
      </w:r>
      <w:r>
        <w:rPr>
          <w:rtl/>
        </w:rPr>
        <w:t xml:space="preserve"> </w:t>
      </w:r>
      <w:r>
        <w:rPr>
          <w:rtl/>
        </w:rPr>
        <w:t xml:space="preserve">الالتزام. مع المقارنة بالفقه الإسلامي. شركة الطبع والنشر الأهلية. بغداد. ١٩٦٣.</w:t>
      </w:r>
    </w:p>
    <w:p>
      <w:pPr>
        <w:numPr>
          <w:ilvl w:val="0"/>
          <w:numId w:val="1018"/>
        </w:numPr>
        <w:pStyle w:val="Compact"/>
        <w:bidi/>
      </w:pPr>
      <w:r>
        <w:rPr>
          <w:rtl/>
        </w:rPr>
        <w:t xml:space="preserve">د. عبد المجيد الحكيم. الوسيط في نظرية العقد، مع المقارنة والموازنة بين نظريات</w:t>
      </w:r>
      <w:r>
        <w:rPr>
          <w:rtl/>
        </w:rPr>
        <w:t xml:space="preserve"> </w:t>
      </w:r>
      <w:r>
        <w:rPr>
          <w:rtl/>
        </w:rPr>
        <w:t xml:space="preserve">الفقه الغربي وما يقابلها في الفقه الإسلامي والقانون المدني العراقي. الجزء الأول في</w:t>
      </w:r>
      <w:r>
        <w:rPr>
          <w:rtl/>
        </w:rPr>
        <w:t xml:space="preserve"> </w:t>
      </w:r>
      <w:r>
        <w:rPr>
          <w:rtl/>
        </w:rPr>
        <w:t xml:space="preserve">انعقاد العقد. شركة الطبع والنشر الأهلية. بغداد. ١٩٦٧.</w:t>
      </w:r>
    </w:p>
    <w:p>
      <w:pPr>
        <w:numPr>
          <w:ilvl w:val="0"/>
          <w:numId w:val="1018"/>
        </w:numPr>
        <w:pStyle w:val="Compact"/>
        <w:bidi/>
      </w:pPr>
      <w:r>
        <w:rPr>
          <w:rtl/>
        </w:rPr>
        <w:t xml:space="preserve">د. عصمت عبد المجيد بكر . الوجيز في العقود المدنية المسماة الرهن. منشورات زين</w:t>
      </w:r>
      <w:r>
        <w:rPr>
          <w:rtl/>
        </w:rPr>
        <w:t xml:space="preserve"> </w:t>
      </w:r>
      <w:r>
        <w:rPr>
          <w:rtl/>
        </w:rPr>
        <w:t xml:space="preserve">الحقوقية. بيروت لبنان. ۲۰۱۹.</w:t>
      </w:r>
    </w:p>
    <w:p>
      <w:pPr>
        <w:numPr>
          <w:ilvl w:val="0"/>
          <w:numId w:val="1018"/>
        </w:numPr>
        <w:pStyle w:val="Compact"/>
        <w:bidi/>
      </w:pPr>
      <w:r>
        <w:rPr>
          <w:rtl/>
        </w:rPr>
        <w:t xml:space="preserve">د.عصمت عبد المجيد بكر النظرية العامة للالتزامات الجزء الأول، مصادر</w:t>
      </w:r>
      <w:r>
        <w:rPr>
          <w:rtl/>
        </w:rPr>
        <w:t xml:space="preserve"> </w:t>
      </w:r>
      <w:r>
        <w:rPr>
          <w:rtl/>
        </w:rPr>
        <w:t xml:space="preserve">الالتزام، الذاكرة للنشر والتوزيع، ٢٠١١.</w:t>
      </w:r>
    </w:p>
    <w:p>
      <w:pPr>
        <w:numPr>
          <w:ilvl w:val="0"/>
          <w:numId w:val="1018"/>
        </w:numPr>
        <w:pStyle w:val="Compact"/>
        <w:bidi/>
      </w:pPr>
      <w:r>
        <w:rPr>
          <w:rtl/>
        </w:rPr>
        <w:t xml:space="preserve">محمد طه البشير ود.غني حسون طه. الحقوق العينية. الجزء الأول. الحقوق العينية</w:t>
      </w:r>
      <w:r>
        <w:rPr>
          <w:rtl/>
        </w:rPr>
        <w:t xml:space="preserve"> </w:t>
      </w:r>
      <w:r>
        <w:rPr>
          <w:rtl/>
        </w:rPr>
        <w:t xml:space="preserve">الأصلية. وزارة التعليم العالي. بغداد. ۱۹۸۲.</w:t>
      </w:r>
    </w:p>
    <w:p>
      <w:pPr>
        <w:numPr>
          <w:ilvl w:val="0"/>
          <w:numId w:val="1018"/>
        </w:numPr>
        <w:pStyle w:val="Compact"/>
        <w:bidi/>
      </w:pPr>
      <w:r>
        <w:rPr>
          <w:rtl/>
        </w:rPr>
        <w:t xml:space="preserve">د. منصور حاتم محسن الفتلاوي وزينب حسين يوسف الغرابي. الاتفاقات المعدلة</w:t>
      </w:r>
      <w:r>
        <w:rPr>
          <w:rtl/>
        </w:rPr>
        <w:t xml:space="preserve"> </w:t>
      </w:r>
      <w:r>
        <w:rPr>
          <w:rtl/>
        </w:rPr>
        <w:t xml:space="preserve">لآثار الرهن دراسة قانونية مقارنة بالفقه الاسلامي دار الأيام للنشر والتوزيع. عمان</w:t>
      </w:r>
    </w:p>
    <w:p>
      <w:pPr>
        <w:bidi/>
      </w:pPr>
      <w:r>
        <w:rPr>
          <w:rtl/>
        </w:rPr>
        <w:t xml:space="preserve">457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51</w:t>
      </w:r>
    </w:p>
    <w:p>
      <w:r>
        <w:pict>
          <v:rect style="width:0;height:1.5pt" o:hralign="center" o:hrstd="t" o:hr="t"/>
        </w:pict>
      </w:r>
    </w:p>
    <w:p>
      <w:pPr>
        <w:bidi/>
      </w:pPr>
      <w:r>
        <w:rPr>
          <w:rtl/>
        </w:rPr>
        <w:t xml:space="preserve">Journal Sharia and Law, Vol. 2022, No. 91 [2022], Art. 7</w:t>
      </w:r>
    </w:p>
    <w:bookmarkEnd w:id="116"/>
    <w:bookmarkEnd w:id="117"/>
    <w:bookmarkStart w:id="122" w:name="Xb6f457f46f9a9e7bf5fde62960b8ed5009b02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bidi/>
      </w:pPr>
      <w:r>
        <w:rPr>
          <w:rtl/>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8" w:name="د---الرسائل-والأطاريح-الجامعية"/>
    <w:p>
      <w:pPr>
        <w:pStyle w:val="Heading3"/>
        <w:bidi/>
      </w:pPr>
      <w:r>
        <w:rPr>
          <w:rtl/>
        </w:rPr>
        <w:t xml:space="preserve">د - الرسائل والأطاريح الجامعية</w:t>
      </w:r>
    </w:p>
    <w:p>
      <w:pPr>
        <w:bidi/>
      </w:pPr>
      <w:r>
        <w:rPr>
          <w:rtl/>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8"/>
    <w:bookmarkStart w:id="119" w:name="هـ---مجموعات-أحكام-القضاء."/>
    <w:p>
      <w:pPr>
        <w:pStyle w:val="Heading3"/>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19"/>
    <w:bookmarkStart w:id="120" w:name="و---البحوث-المنشورة"/>
    <w:p>
      <w:pPr>
        <w:pStyle w:val="Heading3"/>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0"/>
    <w:bookmarkStart w:id="121" w:name="ي-القوانين."/>
    <w:p>
      <w:pPr>
        <w:pStyle w:val="Heading3"/>
        <w:bidi/>
      </w:pPr>
      <w:r>
        <w:rPr>
          <w:rtl/>
        </w:rPr>
        <w:t xml:space="preserve">ي-القوانين.</w:t>
      </w:r>
    </w:p>
    <w:p>
      <w:pPr>
        <w:numPr>
          <w:ilvl w:val="0"/>
          <w:numId w:val="1019"/>
        </w:numPr>
        <w:pStyle w:val="Compact"/>
        <w:bidi/>
      </w:pPr>
      <w:r>
        <w:rPr>
          <w:rtl/>
        </w:rPr>
        <w:t xml:space="preserve">القانون المدني المصري رقم (١٣١) لسنة ١٩٤٨ .</w:t>
      </w:r>
    </w:p>
    <w:p>
      <w:pPr>
        <w:numPr>
          <w:ilvl w:val="0"/>
          <w:numId w:val="1019"/>
        </w:numPr>
        <w:pStyle w:val="Compact"/>
        <w:bidi/>
      </w:pPr>
      <w:r>
        <w:rPr>
          <w:rtl/>
        </w:rPr>
        <w:t xml:space="preserve">القانون المدني العراقي رقم (٤٠) لسنة ١٩٥١.</w:t>
      </w:r>
    </w:p>
    <w:p>
      <w:pPr>
        <w:numPr>
          <w:ilvl w:val="0"/>
          <w:numId w:val="1019"/>
        </w:numPr>
        <w:pStyle w:val="Compact"/>
        <w:bidi/>
      </w:pPr>
      <w:r>
        <w:rPr>
          <w:rtl/>
        </w:rPr>
        <w:t xml:space="preserve">قانون التسجيل العقاري العراقي رقم (٤٣) لسنة ١٩٧١.</w:t>
      </w:r>
    </w:p>
    <w:p>
      <w:pPr>
        <w:numPr>
          <w:ilvl w:val="0"/>
          <w:numId w:val="1019"/>
        </w:numPr>
        <w:pStyle w:val="Compact"/>
        <w:bidi/>
      </w:pPr>
      <w:r>
        <w:rPr>
          <w:rtl/>
        </w:rPr>
        <w:t xml:space="preserve">قانون المعاملات المدنية الاتحادي الإماراتي رقم (٥) لسنة ١٩٨٥.</w:t>
      </w:r>
    </w:p>
    <w:p>
      <w:pPr>
        <w:numPr>
          <w:ilvl w:val="0"/>
          <w:numId w:val="1019"/>
        </w:numPr>
        <w:pStyle w:val="Compact"/>
        <w:bidi/>
      </w:pPr>
      <w:r>
        <w:rPr>
          <w:rtl/>
        </w:rPr>
        <w:t xml:space="preserve">قانون المعاملات التجارية الاتحادي الإماراتي رقم (١٨) لسنة ١٩٩٣.</w:t>
      </w:r>
    </w:p>
    <w:p>
      <w:pPr>
        <w:numPr>
          <w:ilvl w:val="0"/>
          <w:numId w:val="1019"/>
        </w:numPr>
        <w:pStyle w:val="Compact"/>
        <w:bidi/>
      </w:pPr>
      <w:r>
        <w:rPr>
          <w:rtl/>
        </w:rPr>
        <w:t xml:space="preserve">قانون رهن الأموال المنقولة الاتحادي الإماراتي رقم (٢٠) لسنة ٢٠١٦.</w:t>
      </w:r>
    </w:p>
    <w:p>
      <w:pPr>
        <w:bidi/>
      </w:pPr>
      <w:r>
        <w:rPr>
          <w:rtl/>
        </w:rPr>
        <w:t xml:space="preserve">458 السنة السادسة والثلاثون - مجلة جامعة الإمارات ]</w:t>
      </w:r>
    </w:p>
    <w:p>
      <w:pPr>
        <w:bidi/>
      </w:pPr>
      <w:r>
        <w:rPr>
          <w:rtl/>
        </w:rPr>
        <w:t xml:space="preserve">https://scholarworks.uaeu.ac.ae/sharia_and_law/vol2022/iss91/7</w:t>
      </w:r>
    </w:p>
    <w:p>
      <w:pPr>
        <w:bidi/>
      </w:pPr>
      <w:r>
        <w:rPr>
          <w:rtl/>
        </w:rPr>
        <w:t xml:space="preserve">52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21"/>
    <w:bookmarkEnd w:id="122"/>
    <w:bookmarkStart w:id="123" w:name="Xb3e8e599d807c69d29170746a3c657ea3acf3ac"/>
    <w:p>
      <w:pPr>
        <w:pStyle w:val="Heading2"/>
        <w:bidi/>
      </w:pPr>
      <w:r>
        <w:rPr>
          <w:rtl/>
        </w:rPr>
        <w:t xml:space="preserve">Romanization of references in Arabic into English</w:t>
      </w:r>
    </w:p>
    <w:p>
      <w:pPr>
        <w:numPr>
          <w:ilvl w:val="0"/>
          <w:numId w:val="1020"/>
        </w:numPr>
        <w:pStyle w:val="Compact"/>
        <w:bidi/>
      </w:pPr>
      <w:r>
        <w:rPr>
          <w:rtl/>
        </w:rPr>
        <w:t xml:space="preserve">Abu bakr 'ahmad bin alhusayn bin eali albihqi. alsunn alkubraa. tahqiq muhamad eabd alqadir eata. aljuz' alsaadis. altibeat althaalithatu. manshurat muhamad eali bidun. dar alkutub aleilmiat bayrut lubnan. 2003.</w:t>
      </w:r>
    </w:p>
    <w:p>
      <w:pPr>
        <w:numPr>
          <w:ilvl w:val="0"/>
          <w:numId w:val="1020"/>
        </w:numPr>
        <w:pStyle w:val="Compact"/>
        <w:bidi/>
      </w:pPr>
      <w:r>
        <w:rPr>
          <w:rtl/>
        </w:rPr>
        <w:t xml:space="preserve">Muhamad nasir aldiyn al'albani. sahih sunan 'iibn majat. 'abi eabd allah muhamad bin yazid alqazwiniu lil'iimam alhafizi. almujalid althaani. altibeat al'uwalaa. maktabat almaearif lilnashr waltawzie alrayad. 1997.</w:t>
      </w:r>
    </w:p>
    <w:p>
      <w:pPr>
        <w:numPr>
          <w:ilvl w:val="0"/>
          <w:numId w:val="1020"/>
        </w:numPr>
        <w:pStyle w:val="Compact"/>
        <w:bidi/>
      </w:pPr>
      <w:r>
        <w:rPr>
          <w:rtl/>
        </w:rPr>
        <w:t xml:space="preserve">Abu alhasan eali bin eabd alsalam altswli. albahjat fi sharah altuhfati. aljuz' al'awla. altibeat al'uwalaa. dar alkutub aleilmiat birut. lubnan 1998.</w:t>
      </w:r>
    </w:p>
    <w:p>
      <w:pPr>
        <w:numPr>
          <w:ilvl w:val="0"/>
          <w:numId w:val="1020"/>
        </w:numPr>
        <w:pStyle w:val="Compact"/>
        <w:bidi/>
      </w:pPr>
      <w:r>
        <w:rPr>
          <w:rtl/>
        </w:rPr>
        <w:t xml:space="preserve">shams aldiyn alsrkhsy. almabsut. aljuz' alththani eushr. dar bayrut almaerifat. 1989.</w:t>
      </w:r>
    </w:p>
    <w:p>
      <w:pPr>
        <w:numPr>
          <w:ilvl w:val="0"/>
          <w:numId w:val="1020"/>
        </w:numPr>
        <w:pStyle w:val="Compact"/>
        <w:bidi/>
      </w:pPr>
      <w:r>
        <w:rPr>
          <w:rtl/>
        </w:rPr>
        <w:t xml:space="preserve">Eala' aldiyn 'abi bikr bin maseud alkasanii alhanfi. bidayie alsanayie fi tartib alsharayie. aljuz' althaamin. altibeat althaaniati. dar alkutub aleilmiatu. bayrut lubnan. 2003.</w:t>
      </w:r>
    </w:p>
    <w:p>
      <w:pPr>
        <w:numPr>
          <w:ilvl w:val="0"/>
          <w:numId w:val="1020"/>
        </w:numPr>
        <w:pStyle w:val="Compact"/>
        <w:bidi/>
      </w:pPr>
      <w:r>
        <w:rPr>
          <w:rtl/>
        </w:rPr>
        <w:t xml:space="preserve">Muhamad bin 'ahmad bin jazi alghurnati. alqawanin alfaqhiat fi talkhis madhhab almalikiat waltanbih ealaa madhhib alshaafieiat walhinfiat walhanbaliata. altibeat al'uwalaa. dar 'iabn huzm. bayrut lubnan. 2013.</w:t>
      </w:r>
    </w:p>
    <w:p>
      <w:pPr>
        <w:numPr>
          <w:ilvl w:val="0"/>
          <w:numId w:val="1020"/>
        </w:numPr>
        <w:pStyle w:val="Compact"/>
        <w:bidi/>
      </w:pPr>
      <w:r>
        <w:rPr>
          <w:rtl/>
        </w:rPr>
        <w:t xml:space="preserve">Muhamad bin muhamad bin eabd alrahmin almaliki almaghribii alhitab 'abu eabd allh. muahib aljalil fi sharah mukhtasir alshaykh khalil. aljuz' alsaadis. altabeat al'uwalaa. dar alradwan. nawakshut, mawritanya. 2010.</w:t>
      </w:r>
    </w:p>
    <w:p>
      <w:pPr>
        <w:numPr>
          <w:ilvl w:val="0"/>
          <w:numId w:val="1020"/>
        </w:numPr>
        <w:pStyle w:val="Compact"/>
        <w:bidi/>
      </w:pPr>
      <w:r>
        <w:rPr>
          <w:rtl/>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0"/>
        </w:numPr>
        <w:pStyle w:val="Compact"/>
        <w:bidi/>
      </w:pPr>
      <w:r>
        <w:rPr>
          <w:rtl/>
        </w:rPr>
        <w:t xml:space="preserve">Dr.'ahmd salman shahib alsaedawi wada. jawad kazim jawad samisim. masadir alshamali. dirasat mqarnt bialqitae almadanii walfaqih alaislami. altibeat althaaniati. manshuirat zayn alhuquqiat. bayrut lubnan 2017.</w:t>
      </w:r>
    </w:p>
    <w:p>
      <w:pPr>
        <w:numPr>
          <w:ilvl w:val="0"/>
          <w:numId w:val="1020"/>
        </w:numPr>
        <w:pStyle w:val="Compact"/>
        <w:bidi/>
      </w:pPr>
      <w:r>
        <w:rPr>
          <w:rtl/>
        </w:rPr>
        <w:t xml:space="preserve">admund s mulaka. sharah alqanun al'iinjalizia fi ajza'. altibeat al'uwlaa. mutbaeat misr sharikat musahamat masriat. 1954.</w:t>
      </w:r>
    </w:p>
    <w:p>
      <w:pPr>
        <w:numPr>
          <w:ilvl w:val="0"/>
          <w:numId w:val="1020"/>
        </w:numPr>
        <w:pStyle w:val="Compact"/>
        <w:bidi/>
      </w:pPr>
      <w:r>
        <w:rPr>
          <w:rtl/>
        </w:rPr>
        <w:t xml:space="preserve">Dr. alshafiei eabd alruhmin alsyd eawd. eaqd alrahn fi alshryet al'iislamiat dirasat muqaranat. maktabat alwafa' al'iiskandariat. 2011.</w:t>
      </w:r>
    </w:p>
    <w:p>
      <w:pPr>
        <w:bidi/>
      </w:pPr>
      <w:r>
        <w:rPr>
          <w:rtl/>
        </w:rPr>
        <w:t xml:space="preserve">459</w:t>
      </w:r>
      <w:r>
        <w:rPr>
          <w:rtl/>
        </w:rPr>
        <w:t xml:space="preserve"> </w:t>
      </w: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53</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numPr>
          <w:ilvl w:val="0"/>
          <w:numId w:val="1021"/>
        </w:numPr>
        <w:pStyle w:val="Compact"/>
        <w:bidi/>
      </w:pPr>
      <w:r>
        <w:rPr>
          <w:rtl/>
        </w:rPr>
        <w:t xml:space="preserve">Dr. jurj shidrawi. haqa almalakiat aleaqariat mae malhaq ean: haqi altsrf-hq al'iintfae. altibeat althaaniati. almuasasat alhadithat lilkatab. lubnan. 2017.</w:t>
      </w:r>
    </w:p>
    <w:p>
      <w:pPr>
        <w:numPr>
          <w:ilvl w:val="0"/>
          <w:numId w:val="1021"/>
        </w:numPr>
        <w:pStyle w:val="Compact"/>
        <w:bidi/>
      </w:pPr>
      <w:r>
        <w:rPr>
          <w:rtl/>
        </w:rPr>
        <w:t xml:space="preserve">Dr. hisan eabd alghaniu alkhatib, alqanun aleamu, manshurat zayn alhuquqiat, bayrut, lubnan, 2012.</w:t>
      </w:r>
    </w:p>
    <w:p>
      <w:pPr>
        <w:numPr>
          <w:ilvl w:val="0"/>
          <w:numId w:val="1021"/>
        </w:numPr>
        <w:pStyle w:val="Compact"/>
        <w:bidi/>
      </w:pPr>
      <w:r>
        <w:rPr>
          <w:rtl/>
        </w:rPr>
        <w:t xml:space="preserve">dr. hasn eali aldhinwn. 'usul alshamal. mutbaeat almaearif. bighadad. 1970.</w:t>
      </w:r>
    </w:p>
    <w:p>
      <w:pPr>
        <w:numPr>
          <w:ilvl w:val="0"/>
          <w:numId w:val="1021"/>
        </w:numPr>
        <w:pStyle w:val="Compact"/>
        <w:bidi/>
      </w:pPr>
      <w:r>
        <w:rPr>
          <w:rtl/>
        </w:rPr>
        <w:t xml:space="preserve">Dr. dare hamad. alhuquq aleiniat al'asliatu. huquq almalakiat walhuquq almutafarieat eanha. dar alsnhwri. bayrut lubnan. 2018.</w:t>
      </w:r>
    </w:p>
    <w:p>
      <w:pPr>
        <w:numPr>
          <w:ilvl w:val="0"/>
          <w:numId w:val="1021"/>
        </w:numPr>
        <w:pStyle w:val="Compact"/>
        <w:bidi/>
      </w:pPr>
      <w:r>
        <w:rPr>
          <w:rtl/>
        </w:rPr>
        <w:t xml:space="preserve">Dr. dare hamad. alnazariat aleamat lilailtizamati. alqism al'awla. masadir alshamal. maktabat alsinhuri. biarut. 2016.</w:t>
      </w:r>
    </w:p>
    <w:p>
      <w:pPr>
        <w:numPr>
          <w:ilvl w:val="0"/>
          <w:numId w:val="1021"/>
        </w:numPr>
        <w:pStyle w:val="Compact"/>
        <w:bidi/>
      </w:pPr>
      <w:r>
        <w:rPr>
          <w:rtl/>
        </w:rPr>
        <w:t xml:space="preserve">Dr. samir eabd alsyd tanaghu. altaaminat alshakhsiat waleiniatu, alkfalt-alrhn alrsmy-hiq al'ikhtsas-alrihin alhayazia huquq al'iimtayaz.matbieat 'utlis alqahr .1994.</w:t>
      </w:r>
    </w:p>
    <w:p>
      <w:pPr>
        <w:numPr>
          <w:ilvl w:val="0"/>
          <w:numId w:val="1021"/>
        </w:numPr>
        <w:pStyle w:val="Compact"/>
        <w:bidi/>
      </w:pPr>
      <w:r>
        <w:rPr>
          <w:rtl/>
        </w:rPr>
        <w:t xml:space="preserve">Dr. silah aldiyn alnaahi. alwajiz fi altaaminat alshakhsiat waleiniati. dar almaerifat bighadad. 1953.</w:t>
      </w:r>
    </w:p>
    <w:p>
      <w:pPr>
        <w:numPr>
          <w:ilvl w:val="0"/>
          <w:numId w:val="1021"/>
        </w:numPr>
        <w:pStyle w:val="Compact"/>
        <w:bidi/>
      </w:pPr>
      <w:r>
        <w:rPr>
          <w:rtl/>
        </w:rPr>
        <w:t xml:space="preserve">Dr. tarq kazim eujyl. alhuquq aleiniat al'asliatu. aljuz' al'awlu. haqu almalakiati. dar alsnhwri. bayrut lubnan. 2019.</w:t>
      </w:r>
    </w:p>
    <w:p>
      <w:pPr>
        <w:numPr>
          <w:ilvl w:val="0"/>
          <w:numId w:val="1021"/>
        </w:numPr>
        <w:pStyle w:val="Compact"/>
        <w:bidi/>
      </w:pPr>
      <w:r>
        <w:rPr>
          <w:rtl/>
        </w:rPr>
        <w:t xml:space="preserve">Dr. eibad alrazaaq 'ahmad alsanhuri. alwasit fi sharah alqanun almadnii. aljuz' aleashir. altaaminat alshakhsiat waleiniati. tanqih almustashar 'ahmad madahat almaraghaa. munsha'at almaearif bial'iiskndri .2004.</w:t>
      </w:r>
    </w:p>
    <w:p>
      <w:pPr>
        <w:numPr>
          <w:ilvl w:val="0"/>
          <w:numId w:val="1021"/>
        </w:numPr>
        <w:pStyle w:val="Compact"/>
        <w:bidi/>
      </w:pPr>
      <w:r>
        <w:rPr>
          <w:rtl/>
        </w:rPr>
        <w:t xml:space="preserve">eibad alrazaaq alsanhuri. masadir alhaqi fi alfaqih al'iislami. aljuz' althaalithi. mahala aleuqdu. altibeat althaaniati. manshuirat alhilbii alhuquqiati. bayrut lubnan. 1998.</w:t>
      </w:r>
    </w:p>
    <w:p>
      <w:pPr>
        <w:numPr>
          <w:ilvl w:val="0"/>
          <w:numId w:val="1021"/>
        </w:numPr>
        <w:pStyle w:val="Compact"/>
        <w:bidi/>
      </w:pPr>
      <w:r>
        <w:rPr>
          <w:rtl/>
        </w:rPr>
        <w:t xml:space="preserve">Dr. eibad alsalam altirmanini. alqanun almuqarin almanahij alqanuniatu. jamieat matbueat alkuayta. altabeat althaaniat. 1982.</w:t>
      </w:r>
    </w:p>
    <w:p>
      <w:pPr>
        <w:numPr>
          <w:ilvl w:val="0"/>
          <w:numId w:val="1021"/>
        </w:numPr>
        <w:pStyle w:val="Compact"/>
        <w:bidi/>
      </w:pPr>
      <w:r>
        <w:rPr>
          <w:rtl/>
        </w:rPr>
        <w:t xml:space="preserve">Dr. eabad almajid alhakimi. almujaz fi sharah alqanun almadanii. aljuz' al'awal fi alshamal. mae almuqaranat bialfaqih al'iislami. sharikat altabe walnashr al'ahliati. bighadad. 1963.</w:t>
      </w:r>
    </w:p>
    <w:p>
      <w:pPr>
        <w:numPr>
          <w:ilvl w:val="0"/>
          <w:numId w:val="1021"/>
        </w:numPr>
        <w:pStyle w:val="Compact"/>
        <w:bidi/>
      </w:pPr>
      <w:r>
        <w:rPr>
          <w:rtl/>
        </w:rPr>
        <w:t xml:space="preserve">Dr. eabad almajid alhakim. alfaquh al'iislamiu walqanun almadaniu aleiraqiu. aljuz' al'awal fi aineiqad aleuqdi. sharikat altube walnashr al'ahliati. bighadad. 1967.</w:t>
      </w:r>
    </w:p>
    <w:p>
      <w:pPr>
        <w:numPr>
          <w:ilvl w:val="0"/>
          <w:numId w:val="1021"/>
        </w:numPr>
        <w:pStyle w:val="Compact"/>
        <w:bidi/>
      </w:pPr>
      <w:r>
        <w:rPr>
          <w:rtl/>
        </w:rPr>
        <w:t xml:space="preserve">Dr. esmt eabd almajid bikura. alwajiz fi aleuqud almadaniat almsmat bialrahnu. manshuirat zayn alhuquqiat. bayrut lubnan. 2019.</w:t>
      </w:r>
    </w:p>
    <w:p>
      <w:pPr>
        <w:numPr>
          <w:ilvl w:val="0"/>
          <w:numId w:val="1021"/>
        </w:numPr>
        <w:pStyle w:val="Compact"/>
        <w:bidi/>
      </w:pPr>
      <w:r>
        <w:rPr>
          <w:rtl/>
        </w:rPr>
        <w:t xml:space="preserve">Dr. esmt eabd almajid bikr, alnazariat aleamat lilailtizamat, aljuz' al'awal, almasalih, aldhaakirat lilnashr waltawzie,2011.</w:t>
      </w:r>
    </w:p>
    <w:p>
      <w:r>
        <w:pict>
          <v:rect style="width:0;height:1.5pt" o:hralign="center" o:hrstd="t" o:hr="t"/>
        </w:pict>
      </w:r>
    </w:p>
    <w:p>
      <w:pPr>
        <w:bidi/>
      </w:pPr>
      <w:r>
        <w:rPr>
          <w:rtl/>
        </w:rPr>
        <w:t xml:space="preserve">[السنة السادسة والثلاثون - مجلة جامعة الإمارات]</w:t>
      </w:r>
    </w:p>
    <w:p>
      <w:pPr>
        <w:bidi/>
      </w:pPr>
      <w:r>
        <w:rPr>
          <w:rtl/>
        </w:rPr>
        <w:t xml:space="preserve">460</w:t>
      </w:r>
    </w:p>
    <w:p>
      <w:pPr>
        <w:bidi/>
      </w:pPr>
      <w:hyperlink r:id="rId22">
        <w:r>
          <w:rPr>
            <w:rStyle w:val="Hyperlink"/>
            <w:rtl/>
          </w:rPr>
          <w:t xml:space="preserve">https://scholarworks.uaeu.ac.ae/sharia_and_law/vol2022/iss91/7</w:t>
        </w:r>
      </w:hyperlink>
    </w:p>
    <w:p>
      <w:pPr>
        <w:bidi/>
      </w:pPr>
      <w:r>
        <w:rPr>
          <w:rtl/>
        </w:rPr>
        <w:t xml:space="preserve">54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22"/>
        </w:numPr>
        <w:pStyle w:val="Compact"/>
        <w:bidi/>
      </w:pPr>
      <w:r>
        <w:rPr>
          <w:rtl/>
        </w:rPr>
        <w:t xml:space="preserve">muhamad th albashir wada. ghini husun th. alhuquq aleiniatu. aljuz' al'awla. alhuquq aleiniat al'asliatu. wizarat altaelim aleali. bighadad. 1982.</w:t>
      </w:r>
    </w:p>
    <w:p>
      <w:pPr>
        <w:numPr>
          <w:ilvl w:val="0"/>
          <w:numId w:val="1022"/>
        </w:numPr>
        <w:pStyle w:val="Compact"/>
        <w:bidi/>
      </w:pPr>
      <w:r>
        <w:rPr>
          <w:rtl/>
        </w:rPr>
        <w:t xml:space="preserve">Dr. mnsur hatim muhsin alfatlawi wazinb husayn yusif algharabi. alrasm almueadalat liathar alrahn dirasatan mqarntan mqarnt bialfaqih alaislamy. dar al'ayam lilnashr waltawzie. eamman al'urdunn. 2018.</w:t>
      </w:r>
    </w:p>
    <w:p>
      <w:pPr>
        <w:numPr>
          <w:ilvl w:val="0"/>
          <w:numId w:val="1022"/>
        </w:numPr>
        <w:pStyle w:val="Compact"/>
        <w:bidi/>
      </w:pPr>
      <w:r>
        <w:rPr>
          <w:rtl/>
        </w:rPr>
        <w:t xml:space="preserve">Dr. wahbat alzahili. alharf almsmat qanun almueamalat almadaniat al'iimaratii walqanun al'urduni. dar alfikr liltabaeat waltawzie walnashr dimashqa. altabeat al'uwlaa. 1987.</w:t>
      </w:r>
    </w:p>
    <w:p>
      <w:pPr>
        <w:numPr>
          <w:ilvl w:val="0"/>
          <w:numId w:val="1022"/>
        </w:numPr>
        <w:pStyle w:val="Compact"/>
        <w:bidi/>
      </w:pPr>
      <w:r>
        <w:rPr>
          <w:rtl/>
        </w:rPr>
        <w:t xml:space="preserve">fayiz muhamad musaa almadayinh. ghalq alrahn dirasatan mqarnt bayn alshryet al'iislamiat walqanun almadanii. risalat majstayr muqadimat 'iilaa kuliyat alhuquq jamieat alziytunat al'urduniat. 2019.</w:t>
      </w:r>
    </w:p>
    <w:p>
      <w:pPr>
        <w:numPr>
          <w:ilvl w:val="0"/>
          <w:numId w:val="1022"/>
        </w:numPr>
        <w:pStyle w:val="Compact"/>
        <w:bidi/>
      </w:pPr>
      <w:r>
        <w:rPr>
          <w:rtl/>
        </w:rPr>
        <w:t xml:space="preserve">salman biat. alqada' almadaniu aleiraqiu. aljuz' althaani. sharikat altabe walnashr al'ahliat. bighadad. 1962.</w:t>
      </w:r>
    </w:p>
    <w:p>
      <w:pPr>
        <w:numPr>
          <w:ilvl w:val="0"/>
          <w:numId w:val="1022"/>
        </w:numPr>
        <w:pStyle w:val="Compact"/>
        <w:bidi/>
      </w:pPr>
      <w:r>
        <w:rPr>
          <w:rtl/>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p>
      <w:pPr>
        <w:bidi/>
      </w:pPr>
      <w:r>
        <w:rPr>
          <w:rtl/>
        </w:rPr>
        <w:t xml:space="preserve">ثانياً : المصادر باللغة الإنجليزية.</w:t>
      </w:r>
    </w:p>
    <w:p>
      <w:pPr>
        <w:numPr>
          <w:ilvl w:val="0"/>
          <w:numId w:val="1023"/>
        </w:numPr>
        <w:pStyle w:val="Compact"/>
        <w:bidi/>
      </w:pPr>
      <w:r>
        <w:rPr>
          <w:rtl/>
        </w:rPr>
        <w:t xml:space="preserve">First: Books.</w:t>
      </w:r>
    </w:p>
    <w:p>
      <w:pPr>
        <w:numPr>
          <w:ilvl w:val="0"/>
          <w:numId w:val="1023"/>
        </w:numPr>
        <w:pStyle w:val="Compact"/>
        <w:bidi/>
      </w:pPr>
      <w:r>
        <w:rPr>
          <w:rtl/>
        </w:rPr>
        <w:t xml:space="preserve">Alastair Hudson. Equity and Trusts. Sixth Edition. Routledge. Cavendish. Taylor &amp; Francis Group. London and New York. 2010.</w:t>
      </w:r>
    </w:p>
    <w:p>
      <w:pPr>
        <w:numPr>
          <w:ilvl w:val="0"/>
          <w:numId w:val="1023"/>
        </w:numPr>
        <w:pStyle w:val="Compact"/>
        <w:bidi/>
      </w:pPr>
      <w:r>
        <w:rPr>
          <w:rtl/>
        </w:rPr>
        <w:t xml:space="preserve">Alison Clarke &amp; Paul Kohler. Property Law, Commentary and Materials. First Edition. Cambridge University Press. 2005.</w:t>
      </w:r>
    </w:p>
    <w:p>
      <w:pPr>
        <w:numPr>
          <w:ilvl w:val="0"/>
          <w:numId w:val="1023"/>
        </w:numPr>
        <w:pStyle w:val="Compact"/>
        <w:bidi/>
      </w:pPr>
      <w:r>
        <w:rPr>
          <w:rtl/>
        </w:rPr>
        <w:t xml:space="preserve">Barlow Burke and Joseph Snoe. Property, Examples and Explanations. Fifth Edition. Wolters Kluwer. New York. 2016.</w:t>
      </w:r>
    </w:p>
    <w:p>
      <w:pPr>
        <w:numPr>
          <w:ilvl w:val="0"/>
          <w:numId w:val="1023"/>
        </w:numPr>
        <w:pStyle w:val="Compact"/>
        <w:bidi/>
      </w:pPr>
      <w:r>
        <w:rPr>
          <w:rtl/>
        </w:rPr>
        <w:t xml:space="preserve">Ben McFarlane, Nicholas Hopkins, and Sarah Nield. Land Law Text cases and Materials. Oxford University Press. Second Edition. 2012.</w:t>
      </w:r>
    </w:p>
    <w:p>
      <w:pPr>
        <w:numPr>
          <w:ilvl w:val="0"/>
          <w:numId w:val="1023"/>
        </w:numPr>
        <w:pStyle w:val="Compact"/>
        <w:bidi/>
      </w:pPr>
      <w:r>
        <w:rPr>
          <w:rtl/>
        </w:rPr>
        <w:t xml:space="preserve">Chris Davies. Property Law Guidebook. Second Edition. Oxford University Press. 2015.</w:t>
      </w:r>
    </w:p>
    <w:p>
      <w:pPr>
        <w:numPr>
          <w:ilvl w:val="0"/>
          <w:numId w:val="1023"/>
        </w:numPr>
        <w:pStyle w:val="Compact"/>
        <w:bidi/>
      </w:pPr>
      <w:r>
        <w:rPr>
          <w:rtl/>
        </w:rPr>
        <w:t xml:space="preserve">Daniel F. Hinkel. Practical Real Estate Law. Fifth Edition. West Legal Studies. New York. 2008.</w:t>
      </w:r>
    </w:p>
    <w:p>
      <w:pPr>
        <w:numPr>
          <w:ilvl w:val="0"/>
          <w:numId w:val="1023"/>
        </w:numPr>
        <w:pStyle w:val="Compact"/>
        <w:bidi/>
      </w:pPr>
      <w:r>
        <w:rPr>
          <w:rtl/>
        </w:rPr>
        <w:t xml:space="preserve">Diane Chappelle. Land Law. Eighth Edition. Pearson Education</w:t>
      </w:r>
    </w:p>
    <w:p>
      <w:pPr>
        <w:bidi/>
      </w:pPr>
      <w:r>
        <w:rPr>
          <w:rtl/>
        </w:rPr>
        <w:t xml:space="preserve">461</w:t>
      </w:r>
    </w:p>
    <w:p>
      <w:pPr>
        <w:bidi/>
      </w:pPr>
      <w:r>
        <w:rPr>
          <w:rtl/>
        </w:rPr>
        <w:t xml:space="preserve">العدد الواحد والتسعون - ذو الحجة 1443 هـ يوليو 2022]</w:t>
      </w:r>
    </w:p>
    <w:p>
      <w:pPr>
        <w:bidi/>
      </w:pPr>
      <w:r>
        <w:rPr>
          <w:rtl/>
        </w:rPr>
        <w:t xml:space="preserve">55</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123"/>
    <w:bookmarkStart w:id="124" w:name="X5dc45eae79b22b98b17bef445daa4c96b740c74"/>
    <w:p>
      <w:pPr>
        <w:pStyle w:val="Heading2"/>
        <w:bidi/>
      </w:pPr>
      <w:r>
        <w:rPr>
          <w:rtl/>
        </w:rPr>
        <w:t xml:space="preserve">غلق الرهن في القانون الإنجليزي دراسة تحليلية مقارنة بالفقة الإسلامي والقانون المقارن]</w:t>
      </w:r>
    </w:p>
    <w:p>
      <w:pPr>
        <w:numPr>
          <w:ilvl w:val="0"/>
          <w:numId w:val="1024"/>
        </w:numPr>
        <w:pStyle w:val="Compact"/>
        <w:bidi/>
      </w:pPr>
      <w:r>
        <w:rPr>
          <w:rtl/>
        </w:rPr>
        <w:t xml:space="preserve">Limited, Longman. 2008.</w:t>
      </w:r>
    </w:p>
    <w:p>
      <w:pPr>
        <w:numPr>
          <w:ilvl w:val="0"/>
          <w:numId w:val="1024"/>
        </w:numPr>
        <w:pStyle w:val="Compact"/>
        <w:bidi/>
      </w:pPr>
      <w:r>
        <w:rPr>
          <w:rtl/>
        </w:rPr>
        <w:t xml:space="preserve">Douglas Wood. Law and the Built Environment. First Edition. MACMILLAN PRESS LTD.London. 1999.</w:t>
      </w:r>
    </w:p>
    <w:p>
      <w:pPr>
        <w:numPr>
          <w:ilvl w:val="0"/>
          <w:numId w:val="1024"/>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4"/>
        </w:numPr>
        <w:pStyle w:val="Compact"/>
        <w:bidi/>
      </w:pPr>
      <w:r>
        <w:rPr>
          <w:rtl/>
        </w:rPr>
        <w:t xml:space="preserve">E. H Burn and J. Cartwright. Cheshire and Burn's Modern law of Real Property. Seventeenth Edition. Oxford University Press. 2006.</w:t>
      </w:r>
    </w:p>
    <w:p>
      <w:pPr>
        <w:numPr>
          <w:ilvl w:val="0"/>
          <w:numId w:val="1024"/>
        </w:numPr>
        <w:pStyle w:val="Compact"/>
        <w:bidi/>
      </w:pPr>
      <w:r>
        <w:rPr>
          <w:rtl/>
        </w:rPr>
        <w:t xml:space="preserve">Elizabeth Cooke. The New Law of Land Registration. Hart Publishing. 2003.</w:t>
      </w:r>
    </w:p>
    <w:p>
      <w:pPr>
        <w:numPr>
          <w:ilvl w:val="0"/>
          <w:numId w:val="1024"/>
        </w:numPr>
        <w:pStyle w:val="Compact"/>
        <w:bidi/>
      </w:pPr>
      <w:r>
        <w:rPr>
          <w:rtl/>
        </w:rPr>
        <w:t xml:space="preserve">Elizabeth Cooke. Modern Studies in Property Law. Volume 4. HART Publishing. 2007.</w:t>
      </w:r>
    </w:p>
    <w:p>
      <w:pPr>
        <w:numPr>
          <w:ilvl w:val="0"/>
          <w:numId w:val="1024"/>
        </w:numPr>
        <w:pStyle w:val="Compact"/>
        <w:bidi/>
      </w:pPr>
      <w:r>
        <w:rPr>
          <w:rtl/>
        </w:rPr>
        <w:t xml:space="preserve">James Karp &amp; Elliot Klayman. Real Estate Law. Fifth Edition. Dearborn Financial Publishing Inc. 2003 .</w:t>
      </w:r>
    </w:p>
    <w:p>
      <w:pPr>
        <w:numPr>
          <w:ilvl w:val="0"/>
          <w:numId w:val="1024"/>
        </w:numPr>
        <w:pStyle w:val="Compact"/>
        <w:bidi/>
      </w:pPr>
      <w:r>
        <w:rPr>
          <w:rtl/>
        </w:rPr>
        <w:t xml:space="preserve">John Duddington. Land Law. Third Edition. Longman, Pearson Education Limited. London. 2011.</w:t>
      </w:r>
    </w:p>
    <w:p>
      <w:pPr>
        <w:numPr>
          <w:ilvl w:val="0"/>
          <w:numId w:val="1024"/>
        </w:numPr>
        <w:pStyle w:val="Compact"/>
        <w:bidi/>
      </w:pPr>
      <w:r>
        <w:rPr>
          <w:rtl/>
        </w:rPr>
        <w:t xml:space="preserve">John Wilman. Brown: GCSE Law. Ninth Edition. Thomson Sweet &amp; Maxwell, 2005.</w:t>
      </w:r>
    </w:p>
    <w:p>
      <w:pPr>
        <w:numPr>
          <w:ilvl w:val="0"/>
          <w:numId w:val="1024"/>
        </w:numPr>
        <w:pStyle w:val="Compact"/>
        <w:bidi/>
      </w:pPr>
      <w:r>
        <w:rPr>
          <w:rtl/>
        </w:rPr>
        <w:t xml:space="preserve">Kate Green. Land Law. Third Edition. MACMILLAN LAW MASTERS. 1997.</w:t>
      </w:r>
    </w:p>
    <w:p>
      <w:pPr>
        <w:numPr>
          <w:ilvl w:val="0"/>
          <w:numId w:val="1024"/>
        </w:numPr>
        <w:pStyle w:val="Compact"/>
        <w:bidi/>
      </w:pPr>
      <w:r>
        <w:rPr>
          <w:rtl/>
        </w:rPr>
        <w:t xml:space="preserve">Kevin Gray and Susan Francis Gray. Elements of Land Law. Fifth Edition. Oxford University Press. 2009.</w:t>
      </w:r>
    </w:p>
    <w:p>
      <w:pPr>
        <w:numPr>
          <w:ilvl w:val="0"/>
          <w:numId w:val="1024"/>
        </w:numPr>
        <w:pStyle w:val="Compact"/>
        <w:bidi/>
      </w:pPr>
      <w:r>
        <w:rPr>
          <w:rtl/>
        </w:rPr>
        <w:t xml:space="preserve">Louise Tee. Land Law. Issues Debates, Policy. Routledge Taylor &amp; Francis Group. London. 2014.</w:t>
      </w:r>
    </w:p>
    <w:p>
      <w:pPr>
        <w:numPr>
          <w:ilvl w:val="0"/>
          <w:numId w:val="1024"/>
        </w:numPr>
        <w:pStyle w:val="Compact"/>
        <w:bidi/>
      </w:pPr>
      <w:r>
        <w:rPr>
          <w:rtl/>
        </w:rPr>
        <w:t xml:space="preserve">Lynn T. Slossberg. The Essentials of Real Estate Law. Third Edition. CENGAGE Learning. 2015.</w:t>
      </w:r>
    </w:p>
    <w:p>
      <w:pPr>
        <w:numPr>
          <w:ilvl w:val="0"/>
          <w:numId w:val="1024"/>
        </w:numPr>
        <w:pStyle w:val="Compact"/>
        <w:bidi/>
      </w:pPr>
      <w:r>
        <w:rPr>
          <w:rtl/>
        </w:rPr>
        <w:t xml:space="preserve">Martin Dixon. Principles of Land Law. Fourth Edition. Cavendish Publishing Limited. London. 2002.</w:t>
      </w:r>
    </w:p>
    <w:p>
      <w:pPr>
        <w:numPr>
          <w:ilvl w:val="0"/>
          <w:numId w:val="1024"/>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462 السنة السادسة والثلاثون - مجلة جامعة الإمارات ]</w:t>
      </w:r>
    </w:p>
    <w:p>
      <w:pPr>
        <w:bidi/>
      </w:pPr>
      <w:r>
        <w:rPr>
          <w:rtl/>
        </w:rPr>
        <w:t xml:space="preserve">https://scholarworks.uaeu.ac.ae/sharia_and_law/vol2022/iss91/7</w:t>
      </w:r>
    </w:p>
    <w:p>
      <w:pPr>
        <w:bidi/>
      </w:pPr>
      <w:r>
        <w:rPr>
          <w:rtl/>
        </w:rPr>
        <w:t xml:space="preserve">56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25"/>
        </w:numPr>
        <w:pStyle w:val="Compact"/>
        <w:bidi/>
      </w:pPr>
      <w:r>
        <w:rPr>
          <w:rtl/>
        </w:rPr>
        <w:t xml:space="preserve">Michael Bridge. Personal Property Law. Fourth Edition. Oxford University Press. 2015.</w:t>
      </w:r>
    </w:p>
    <w:p>
      <w:pPr>
        <w:numPr>
          <w:ilvl w:val="0"/>
          <w:numId w:val="1025"/>
        </w:numPr>
        <w:pStyle w:val="Compact"/>
        <w:bidi/>
      </w:pPr>
      <w:r>
        <w:rPr>
          <w:rtl/>
        </w:rPr>
        <w:t xml:space="preserve">Pamela Rajapakse, Shanuka Senarath. Commercial Law Aspects of Residential Mortgage Securitisation in Australia. Palgrave Macmillan.2019.P.69.</w:t>
      </w:r>
    </w:p>
    <w:p>
      <w:pPr>
        <w:numPr>
          <w:ilvl w:val="0"/>
          <w:numId w:val="1025"/>
        </w:numPr>
        <w:pStyle w:val="Compact"/>
        <w:bidi/>
      </w:pPr>
      <w:r>
        <w:rPr>
          <w:rtl/>
        </w:rPr>
        <w:t xml:space="preserve">Peter Sparkes. A New Land Law. Second Edition. Hart Publishing. Portland, Oregon. 2003.</w:t>
      </w:r>
    </w:p>
    <w:p>
      <w:pPr>
        <w:numPr>
          <w:ilvl w:val="0"/>
          <w:numId w:val="1025"/>
        </w:numPr>
        <w:pStyle w:val="Compact"/>
        <w:bidi/>
      </w:pPr>
      <w:r>
        <w:rPr>
          <w:rtl/>
        </w:rPr>
        <w:t xml:space="preserve">Richard Card. John Murdoch, Sandi Murdoch. Real Estate Management Law. Seventh Edition. Oxford University Press.2011.</w:t>
      </w:r>
    </w:p>
    <w:p>
      <w:pPr>
        <w:numPr>
          <w:ilvl w:val="0"/>
          <w:numId w:val="1025"/>
        </w:numPr>
        <w:pStyle w:val="Compact"/>
        <w:bidi/>
      </w:pPr>
      <w:r>
        <w:rPr>
          <w:rtl/>
        </w:rPr>
        <w:t xml:space="preserve">Rojer J. Smith. Property Law. Eighth Edition.PEARSON Education Limited. London. 2014.</w:t>
      </w:r>
    </w:p>
    <w:p>
      <w:pPr>
        <w:numPr>
          <w:ilvl w:val="0"/>
          <w:numId w:val="1025"/>
        </w:numPr>
        <w:pStyle w:val="Compact"/>
        <w:bidi/>
      </w:pPr>
      <w:r>
        <w:rPr>
          <w:rtl/>
        </w:rPr>
        <w:t xml:space="preserve">Rojer J. Smith. Property Law: Cases and Materials. Fifth Edition. Pearson Education Limited. Essex England. 2012.</w:t>
      </w:r>
    </w:p>
    <w:p>
      <w:pPr>
        <w:numPr>
          <w:ilvl w:val="0"/>
          <w:numId w:val="1025"/>
        </w:numPr>
        <w:pStyle w:val="Compact"/>
        <w:bidi/>
      </w:pPr>
      <w:r>
        <w:rPr>
          <w:rtl/>
        </w:rPr>
        <w:t xml:space="preserve">Rojer J. Smith. Introduction to Land Law. Second Edition. Longman Pearson Education Limited. 2010.</w:t>
      </w:r>
    </w:p>
    <w:p>
      <w:pPr>
        <w:numPr>
          <w:ilvl w:val="0"/>
          <w:numId w:val="1025"/>
        </w:numPr>
        <w:pStyle w:val="Compact"/>
        <w:bidi/>
      </w:pPr>
      <w:r>
        <w:rPr>
          <w:rtl/>
        </w:rPr>
        <w:t xml:space="preserve">Samantha Hepburn. Principles Of Property Law. Second Edition. Cavendish Publishing. London. 2001.</w:t>
      </w:r>
    </w:p>
    <w:p>
      <w:pPr>
        <w:numPr>
          <w:ilvl w:val="0"/>
          <w:numId w:val="1025"/>
        </w:numPr>
        <w:pStyle w:val="Compact"/>
        <w:bidi/>
      </w:pPr>
      <w:r>
        <w:rPr>
          <w:rtl/>
        </w:rPr>
        <w:t xml:space="preserve">Steven L. Emanuel. Emanuel law outlines. Property. Ninth Edition. Wolters Kluwer. New York.2017.</w:t>
      </w:r>
    </w:p>
    <w:bookmarkEnd w:id="124"/>
    <w:bookmarkStart w:id="125" w:name="second-laws"/>
    <w:p>
      <w:pPr>
        <w:pStyle w:val="Heading2"/>
        <w:bidi/>
      </w:pPr>
      <w:r>
        <w:rPr>
          <w:rtl/>
        </w:rPr>
        <w:t xml:space="preserve">32) Second: Laws</w:t>
      </w:r>
    </w:p>
    <w:p>
      <w:pPr>
        <w:numPr>
          <w:ilvl w:val="0"/>
          <w:numId w:val="1026"/>
        </w:numPr>
        <w:pStyle w:val="Compact"/>
        <w:bidi/>
      </w:pPr>
      <w:r>
        <w:rPr>
          <w:rtl/>
        </w:rPr>
        <w:t xml:space="preserve">The Housing Act 1996.</w:t>
      </w:r>
    </w:p>
    <w:p>
      <w:pPr>
        <w:numPr>
          <w:ilvl w:val="0"/>
          <w:numId w:val="1026"/>
        </w:numPr>
        <w:pStyle w:val="Compact"/>
        <w:bidi/>
      </w:pPr>
      <w:r>
        <w:rPr>
          <w:rtl/>
        </w:rPr>
        <w:t xml:space="preserve">The Land Registration Act 1925.</w:t>
      </w:r>
    </w:p>
    <w:p>
      <w:pPr>
        <w:numPr>
          <w:ilvl w:val="0"/>
          <w:numId w:val="1026"/>
        </w:numPr>
        <w:pStyle w:val="Compact"/>
        <w:bidi/>
      </w:pPr>
      <w:r>
        <w:rPr>
          <w:rtl/>
        </w:rPr>
        <w:t xml:space="preserve">The law of property Act 1925.</w:t>
      </w:r>
    </w:p>
    <w:p>
      <w:pPr>
        <w:numPr>
          <w:ilvl w:val="0"/>
          <w:numId w:val="1026"/>
        </w:numPr>
        <w:pStyle w:val="Compact"/>
        <w:bidi/>
      </w:pPr>
      <w:r>
        <w:rPr>
          <w:rtl/>
        </w:rPr>
        <w:t xml:space="preserve">The Settled Land Act 1925.</w:t>
      </w:r>
    </w:p>
    <w:p>
      <w:pPr>
        <w:numPr>
          <w:ilvl w:val="0"/>
          <w:numId w:val="1026"/>
        </w:numPr>
        <w:pStyle w:val="Compact"/>
        <w:bidi/>
      </w:pPr>
      <w:r>
        <w:rPr>
          <w:rtl/>
        </w:rPr>
        <w:t xml:space="preserve">The Trusts of Land and Appointment of Trustees Act 1996.</w:t>
      </w:r>
    </w:p>
    <w:bookmarkEnd w:id="125"/>
    <w:bookmarkStart w:id="126" w:name="third-legal-studies-pieces-of-research"/>
    <w:p>
      <w:pPr>
        <w:pStyle w:val="Heading2"/>
        <w:bidi/>
      </w:pPr>
      <w:r>
        <w:rPr>
          <w:rtl/>
        </w:rPr>
        <w:t xml:space="preserve">38) Third: legal studies&amp; pieces of research</w:t>
      </w:r>
    </w:p>
    <w:p>
      <w:pPr>
        <w:bidi/>
      </w:pPr>
      <w:r>
        <w:rPr>
          <w:rtl/>
        </w:rPr>
        <w:t xml:space="preserve">Dan E. Stigall. Iraqi Civil Law: Its Sources, Substance, and Sundering. Journal of Transnational Law &amp; Policy. Volume 16. Number 1.2006.</w:t>
      </w:r>
    </w:p>
    <w:bookmarkEnd w:id="126"/>
    <w:bookmarkStart w:id="129" w:name="fourth-internet-websites"/>
    <w:p>
      <w:pPr>
        <w:pStyle w:val="Heading2"/>
        <w:bidi/>
      </w:pPr>
      <w:r>
        <w:rPr>
          <w:rtl/>
        </w:rPr>
        <w:t xml:space="preserve">39) Fourth: Internet websites</w:t>
      </w:r>
    </w:p>
    <w:p>
      <w:pPr>
        <w:numPr>
          <w:ilvl w:val="0"/>
          <w:numId w:val="1027"/>
        </w:numPr>
        <w:pStyle w:val="Compact"/>
        <w:bidi/>
      </w:pPr>
      <w:hyperlink r:id="rId83">
        <w:r>
          <w:rPr>
            <w:rStyle w:val="Hyperlink"/>
            <w:rtl/>
          </w:rPr>
          <w:t xml:space="preserve">https://swarb.co.uk/first-national-securities-v-hegerty-ca-1984/</w:t>
        </w:r>
      </w:hyperlink>
    </w:p>
    <w:p>
      <w:pPr>
        <w:numPr>
          <w:ilvl w:val="0"/>
          <w:numId w:val="1027"/>
        </w:numPr>
        <w:pStyle w:val="Compact"/>
        <w:bidi/>
      </w:pPr>
      <w:hyperlink r:id="rId127">
        <w:r>
          <w:rPr>
            <w:rStyle w:val="Hyperlink"/>
            <w:rtl/>
          </w:rPr>
          <w:t xml:space="preserve">https://www.lawteacher.net/cases/palk-v-mortgage-services.php</w:t>
        </w:r>
      </w:hyperlink>
    </w:p>
    <w:p>
      <w:pPr>
        <w:numPr>
          <w:ilvl w:val="0"/>
          <w:numId w:val="1027"/>
        </w:numPr>
        <w:pStyle w:val="Compact"/>
        <w:bidi/>
      </w:pPr>
      <w:hyperlink r:id="rId128">
        <w:r>
          <w:rPr>
            <w:rStyle w:val="Hyperlink"/>
            <w:rtl/>
          </w:rPr>
          <w:t xml:space="preserve">https://swarb.co.uk/twentieth-century-banking-corporation-ltd-v-</w:t>
        </w:r>
      </w:hyperlink>
    </w:p>
    <w:p>
      <w:pPr>
        <w:bidi/>
      </w:pPr>
      <w:r>
        <w:rPr>
          <w:rtl/>
        </w:rPr>
        <w:t xml:space="preserve">463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57</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wilkinson-chd-1977/</w:t>
      </w:r>
    </w:p>
    <w:p>
      <w:pPr>
        <w:numPr>
          <w:ilvl w:val="0"/>
          <w:numId w:val="1028"/>
        </w:numPr>
        <w:pStyle w:val="Compact"/>
        <w:bidi/>
      </w:pPr>
      <w:r>
        <w:rPr>
          <w:rtl/>
        </w:rPr>
        <w:t xml:space="preserve">https://quizlet.com/12183004/mortgages-flash-cards/</w:t>
      </w:r>
    </w:p>
    <w:p>
      <w:pPr>
        <w:numPr>
          <w:ilvl w:val="0"/>
          <w:numId w:val="1028"/>
        </w:numPr>
        <w:pStyle w:val="Compact"/>
        <w:bidi/>
      </w:pPr>
      <w:r>
        <w:rPr>
          <w:rtl/>
        </w:rPr>
        <w:t xml:space="preserve">https://en.m.wikipedia.org/wiki/Equitable_right</w:t>
      </w:r>
    </w:p>
    <w:p>
      <w:r>
        <w:pict>
          <v:rect style="width:0;height:1.5pt" o:hralign="center" o:hrstd="t" o:hr="t"/>
        </w:pict>
      </w:r>
    </w:p>
    <w:p>
      <w:pPr>
        <w:bidi/>
      </w:pPr>
      <w:r>
        <w:rPr>
          <w:rtl/>
        </w:rPr>
        <w:t xml:space="preserve">464 السنة السادسة والثلاثون - مجلة جامعة الإمارات ]</w:t>
      </w:r>
    </w:p>
    <w:p>
      <w:pPr>
        <w:bidi/>
      </w:pPr>
      <w:r>
        <w:rPr>
          <w:rtl/>
        </w:rPr>
        <w:t xml:space="preserve">https://scholarworks.uaeu.ac.ae/sharia_and_law/vol2022/iss91/7</w:t>
      </w:r>
    </w:p>
    <w:p>
      <w:pPr>
        <w:bidi/>
      </w:pPr>
      <w:r>
        <w:rPr>
          <w:rtl/>
        </w:rPr>
        <w:t xml:space="preserve">58</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7">
    <w:nsid w:val="A99207"/>
    <w:multiLevelType w:val="multilevel"/>
    <w:lvl w:ilvl="0">
      <w:start w:val="7"/>
      <w:numFmt w:val="decimal"/>
      <w:lvlText w:val="%1."/>
      <w:lvlJc w:val="left"/>
      <w:pPr>
        <w:ind w:left="720" w:hanging="480"/>
      </w:pPr>
    </w:lvl>
    <w:lvl w:ilvl="1">
      <w:start w:val="7"/>
      <w:numFmt w:val="lowerLetter"/>
      <w:lvlText w:val="%2."/>
      <w:lvlJc w:val="left"/>
      <w:pPr>
        <w:ind w:left="1440" w:hanging="480"/>
      </w:pPr>
    </w:lvl>
    <w:lvl w:ilvl="2">
      <w:start w:val="7"/>
      <w:numFmt w:val="lowerRoman"/>
      <w:lvlText w:val="%3."/>
      <w:lvlJc w:val="left"/>
      <w:pPr>
        <w:ind w:left="2160" w:hanging="480"/>
      </w:pPr>
    </w:lvl>
    <w:lvl w:ilvl="3">
      <w:start w:val="7"/>
      <w:numFmt w:val="decimal"/>
      <w:lvlText w:val="%4."/>
      <w:lvlJc w:val="left"/>
      <w:pPr>
        <w:ind w:left="2880" w:hanging="480"/>
      </w:pPr>
    </w:lvl>
    <w:lvl w:ilvl="4">
      <w:start w:val="7"/>
      <w:numFmt w:val="lowerLetter"/>
      <w:lvlText w:val="%5."/>
      <w:lvlJc w:val="left"/>
      <w:pPr>
        <w:ind w:left="3600" w:hanging="480"/>
      </w:pPr>
    </w:lvl>
    <w:lvl w:ilvl="5">
      <w:start w:val="7"/>
      <w:numFmt w:val="lowerRoman"/>
      <w:lvlText w:val="%6."/>
      <w:lvlJc w:val="left"/>
      <w:pPr>
        <w:ind w:left="4320" w:hanging="480"/>
      </w:pPr>
    </w:lvl>
    <w:lvl w:ilvl="6">
      <w:start w:val="7"/>
      <w:numFmt w:val="decimal"/>
      <w:lvlText w:val="%7."/>
      <w:lvlJc w:val="left"/>
      <w:pPr>
        <w:ind w:left="5040" w:hanging="480"/>
      </w:pPr>
    </w:lvl>
    <w:lvl w:ilvl="7">
      <w:start w:val="7"/>
      <w:numFmt w:val="lowerLetter"/>
      <w:lvlText w:val="%8."/>
      <w:lvlJc w:val="left"/>
      <w:pPr>
        <w:ind w:left="5760" w:hanging="480"/>
      </w:pPr>
    </w:lvl>
    <w:lvl w:ilvl="8">
      <w:start w:val="7"/>
      <w:numFmt w:val="lowerRoman"/>
      <w:lvlText w:val="%9."/>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num w:numId="1000">
    <w:abstractNumId w:val="990"/>
  </w:num>
  <w:num w:numId="1001">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6">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7">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en.m.wikipedia.org/wiki/Equitable_right"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83" Target="https://swarb.co.uk/first-national-securities-v-hegerty-ca-1984/" TargetMode="External" /><Relationship Type="http://schemas.openxmlformats.org/officeDocument/2006/relationships/hyperlink" Id="rId128" Target="https://swarb.co.uk/twentieth-century-banking-corporation-ltd-v-" TargetMode="External" /><Relationship Type="http://schemas.openxmlformats.org/officeDocument/2006/relationships/hyperlink" Id="rId127" Target="https://www.lawteacher.net/cases/palk-v-mortgage-services.php"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94" Target="https://en.m.wikipedia.org/wiki/Equitable_right"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83" Target="https://swarb.co.uk/first-national-securities-v-hegerty-ca-1984/" TargetMode="External" /><Relationship Type="http://schemas.openxmlformats.org/officeDocument/2006/relationships/hyperlink" Id="rId128" Target="https://swarb.co.uk/twentieth-century-banking-corporation-ltd-v-" TargetMode="External" /><Relationship Type="http://schemas.openxmlformats.org/officeDocument/2006/relationships/hyperlink" Id="rId127" Target="https://www.lawteacher.net/cases/palk-v-mortgage-services.php"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2025-11-02T13:43:17Z</dcterms:created>
  <dcterms:modified xsi:type="dcterms:W3CDTF">2025-11-02T13:43:17Z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