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journal-sharia-and-law"/>
    <w:p>
      <w:pPr>
        <w:pStyle w:val="Heading1"/>
      </w:pPr>
      <w:r>
        <w:t xml:space="preserve">Journal Sharia and Law</w:t>
      </w:r>
    </w:p>
    <w:p>
      <w:pPr>
        <w:pStyle w:val="FirstParagraph"/>
      </w:pPr>
      <w:r>
        <w:t xml:space="preserve">Volume 2022</w:t>
      </w:r>
      <w:r>
        <w:br/>
      </w:r>
      <w:r>
        <w:t xml:space="preserve">Number 91</w:t>
      </w:r>
      <w:r>
        <w:t xml:space="preserve"> </w:t>
      </w:r>
      <w:r>
        <w:rPr>
          <w:iCs/>
          <w:i/>
        </w:rPr>
        <w:t xml:space="preserve">Year 36, Issue No. 91</w:t>
      </w:r>
      <w:r>
        <w:t xml:space="preserve"> </w:t>
      </w:r>
      <w:r>
        <w:t xml:space="preserve">July 2022</w:t>
      </w:r>
    </w:p>
    <w:p>
      <w:pPr>
        <w:pStyle w:val="BodyText"/>
      </w:pPr>
      <w:r>
        <w:t xml:space="preserve">Article 7</w:t>
      </w:r>
    </w:p>
    <w:p>
      <w:pPr>
        <w:pStyle w:val="BodyText"/>
      </w:pPr>
      <w:r>
        <w:t xml:space="preserve">January 2022</w:t>
      </w:r>
    </w:p>
    <w:bookmarkStart w:id="27" w:name="X73d703a15365db15715a265eb2adf32d92b9a71"/>
    <w:p>
      <w:pPr>
        <w:pStyle w:val="Heading2"/>
      </w:pPr>
      <w:r>
        <w:t xml:space="preserve">Foreclosure in English law: A Comparative Analytical Study of Islamic Jurisprudence and Comparative Law</w:t>
      </w:r>
    </w:p>
    <w:p>
      <w:pPr>
        <w:pStyle w:val="FirstParagraph"/>
      </w:pPr>
      <w:r>
        <w:t xml:space="preserve">Dr. Younis Salah Eddin Ali</w:t>
      </w:r>
      <w:r>
        <w:br/>
      </w:r>
      <w:r>
        <w:t xml:space="preserve">Assistant Professor of Private Law, College of Law, International Relations and Diplomacy, Cihan University, Erbil, Iraq, younis888_sss@yahoo.com</w:t>
      </w:r>
    </w:p>
    <w:p>
      <w:pPr>
        <w:pStyle w:val="BodyText"/>
      </w:pPr>
      <w:r>
        <w:t xml:space="preserve">Follow this and additional works at:</w:t>
      </w:r>
      <w:r>
        <w:t xml:space="preserve"> </w:t>
      </w:r>
      <w:hyperlink r:id="rId20">
        <w:r>
          <w:rPr>
            <w:rStyle w:val="Hyperlink"/>
          </w:rPr>
          <w:t xml:space="preserve">https://scholarworks.uaeu.ac.ae/sharia_and_law</w:t>
        </w:r>
      </w:hyperlink>
    </w:p>
    <w:p>
      <w:pPr>
        <w:pStyle w:val="Figure"/>
      </w:pPr>
      <w:r>
        <w:drawing>
          <wp:inline>
            <wp:extent cx="5143500" cy="5305425"/>
            <wp:effectExtent b="0" l="0" r="0" t="0"/>
            <wp:docPr descr="" title="" id="22" name="Picture"/>
            <a:graphic>
              <a:graphicData uri="http://schemas.openxmlformats.org/drawingml/2006/picture">
                <pic:pic>
                  <pic:nvPicPr>
                    <pic:cNvPr descr="0308-036-091-007_page_001_img_1.png" id="23" name="Picture"/>
                    <pic:cNvPicPr>
                      <a:picLocks noChangeArrowheads="1" noChangeAspect="1"/>
                    </pic:cNvPicPr>
                  </pic:nvPicPr>
                  <pic:blipFill>
                    <a:blip r:embed="rId21"/>
                    <a:stretch>
                      <a:fillRect/>
                    </a:stretch>
                  </pic:blipFill>
                  <pic:spPr bwMode="auto">
                    <a:xfrm>
                      <a:off x="0" y="0"/>
                      <a:ext cx="5143500" cy="5305425"/>
                    </a:xfrm>
                    <a:prstGeom prst="rect">
                      <a:avLst/>
                    </a:prstGeom>
                    <a:noFill/>
                    <a:ln w="9525">
                      <a:noFill/>
                      <a:headEnd/>
                      <a:tailEnd/>
                    </a:ln>
                  </pic:spPr>
                </pic:pic>
              </a:graphicData>
            </a:graphic>
          </wp:inline>
        </w:drawing>
      </w:r>
    </w:p>
    <w:p>
      <w:pPr>
        <w:pStyle w:val="FirstParagraph"/>
      </w:pPr>
      <w:r>
        <w:t xml:space="preserve">Part of the Civil Law Commons</w:t>
      </w:r>
    </w:p>
    <w:bookmarkStart w:id="26" w:name="recommended-citation"/>
    <w:p>
      <w:pPr>
        <w:pStyle w:val="Heading3"/>
      </w:pPr>
      <w:r>
        <w:t xml:space="preserve">Recommended Citation</w:t>
      </w:r>
    </w:p>
    <w:p>
      <w:pPr>
        <w:pStyle w:val="FirstParagraph"/>
      </w:pPr>
      <w:r>
        <w:t xml:space="preserve">Ali, Dr. Younis Salah Eddin (2022) "Foreclosure in English law: A Comparative Analytical Study of Islamic Jurisprudence and Comparative Law,"</w:t>
      </w:r>
      <w:r>
        <w:t xml:space="preserve"> </w:t>
      </w:r>
      <w:r>
        <w:rPr>
          <w:iCs/>
          <w:i/>
        </w:rPr>
        <w:t xml:space="preserve">Journal Sharia and Law</w:t>
      </w:r>
      <w:r>
        <w:t xml:space="preserve">: Vol. 2022: No. 91, Article 7.</w:t>
      </w:r>
      <w:r>
        <w:br/>
      </w:r>
      <w:r>
        <w:t xml:space="preserve">Available at:</w:t>
      </w:r>
      <w:r>
        <w:t xml:space="preserve"> </w:t>
      </w:r>
      <w:hyperlink r:id="rId24">
        <w:r>
          <w:rPr>
            <w:rStyle w:val="Hyperlink"/>
          </w:rPr>
          <w:t xml:space="preserve">https://scholarworks.uaeu.ac.ae/sharia_and_law/vol2022/iss91/7</w:t>
        </w:r>
      </w:hyperlink>
    </w:p>
    <w:p>
      <w:pPr>
        <w:pStyle w:val="BodyText"/>
      </w:pPr>
      <w:r>
        <w:t xml:space="preserve">This Article is brought to you for free and open access by Scholarworks@UAEU. It has been accepted for inclusion in Journal Sharia and Law by an authorized editor of Scholarworks@UAEU. For more information, please contact</w:t>
      </w:r>
      <w:r>
        <w:t xml:space="preserve"> </w:t>
      </w:r>
      <w:hyperlink r:id="rId25">
        <w:r>
          <w:rPr>
            <w:rStyle w:val="Hyperlink"/>
          </w:rPr>
          <w:t xml:space="preserve">sljournal@uaeu.ac.ae</w:t>
        </w:r>
      </w:hyperlink>
      <w:r>
        <w:t xml:space="preserve">.</w:t>
      </w:r>
    </w:p>
    <w:p>
      <w:r>
        <w:pict>
          <v:rect style="width:0;height:1.5pt" o:hralign="center" o:hrstd="t" o:hr="t"/>
        </w:pict>
      </w:r>
    </w:p>
    <w:bookmarkEnd w:id="26"/>
    <w:bookmarkEnd w:id="27"/>
    <w:bookmarkEnd w:id="28"/>
    <w:bookmarkStart w:id="30" w:name="X807cfd917b84fabda0222983066c45525ef4f74"/>
    <w:p>
      <w:pPr>
        <w:pStyle w:val="Heading1"/>
      </w:pPr>
      <w:r>
        <w:t xml:space="preserve">Foreclosure in English law: A Comparative Analytical Study of Islamic Jurisprudence and Comparative Law</w:t>
      </w:r>
    </w:p>
    <w:bookmarkStart w:id="29" w:name="cover-page-footnote"/>
    <w:p>
      <w:pPr>
        <w:pStyle w:val="Heading2"/>
      </w:pPr>
      <w:r>
        <w:t xml:space="preserve">Cover Page Footnote</w:t>
      </w:r>
    </w:p>
    <w:p>
      <w:pPr>
        <w:bidi/>
      </w:pPr>
      <w:r>
        <w:rPr>
          <w:rtl/>
        </w:rPr>
        <w:t xml:space="preserve">د.يونس صلاح الدين علي أستاذ القانون الخاص المساعد - كلية القانون والعلاقات الدولية والدبلوماسية جامعة جيهان الخاصة - أربيل - العراق</w:t>
      </w:r>
    </w:p>
    <w:p>
      <w:pPr>
        <w:bidi/>
      </w:pPr>
      <w:r>
        <w:rPr>
          <w:rtl/>
        </w:rPr>
        <w:t xml:space="preserve">younis888_sss@yahoo.com</w:t>
      </w:r>
    </w:p>
    <w:p>
      <w:pPr>
        <w:pStyle w:val="BodyText"/>
      </w:pPr>
      <w:r>
        <w:t xml:space="preserve">This article is available in Journal Sharia and Law:</w:t>
      </w:r>
      <w:r>
        <w:t xml:space="preserve"> </w:t>
      </w:r>
      <w:hyperlink r:id="rId24">
        <w:r>
          <w:rPr>
            <w:rStyle w:val="Hyperlink"/>
          </w:rPr>
          <w:t xml:space="preserve">https://scholarworks.uaeu.ac.ae/sharia_and_law/vol2022/iss91/7</w:t>
        </w:r>
      </w:hyperlink>
    </w:p>
    <w:p>
      <w:r>
        <w:pict>
          <v:rect style="width:0;height:1.5pt" o:hralign="center" o:hrstd="t" o:hr="t"/>
        </w:pict>
      </w:r>
    </w:p>
    <w:p>
      <w:pPr>
        <w:pStyle w:val="FirstParagraph"/>
      </w:pPr>
      <w:r>
        <w:t xml:space="preserve">Ali: ??? ????? ?? ??????? ????????? ????? ??????? ?????? ?????? ???????? ???????? ??????? د. يونس صلاح الدين علي]</w:t>
      </w:r>
    </w:p>
    <w:bookmarkEnd w:id="29"/>
    <w:bookmarkEnd w:id="30"/>
    <w:bookmarkStart w:id="33" w:name="Xbe6f57bc3d32dd4bcaaaff2c6d9202c27d17532"/>
    <w:p>
      <w:pPr>
        <w:pStyle w:val="Heading1"/>
      </w:pPr>
      <w:r>
        <w:t xml:space="preserve">Foreclosure in English law: A Comparative Analytical Study of Islamic Jurisprudence and Comparative Law*</w:t>
      </w:r>
    </w:p>
    <w:bookmarkStart w:id="31" w:name="dr.-yunus-salahuddin-ali"/>
    <w:p>
      <w:pPr>
        <w:pStyle w:val="Heading3"/>
      </w:pPr>
      <w:r>
        <w:t xml:space="preserve">Dr. Yunus Salahuddin Ali</w:t>
      </w:r>
    </w:p>
    <w:p>
      <w:pPr>
        <w:pStyle w:val="FirstParagraph"/>
      </w:pPr>
      <w:r>
        <w:t xml:space="preserve">Assistant Professor of Private Law, College of Law,</w:t>
      </w:r>
      <w:r>
        <w:br/>
      </w:r>
      <w:r>
        <w:t xml:space="preserve">International Relations and Diplomacy, Cihan University, Erbil, Iraq</w:t>
      </w:r>
      <w:r>
        <w:br/>
      </w:r>
      <w:r>
        <w:t xml:space="preserve">younis888_sss@yahoo.com</w:t>
      </w:r>
    </w:p>
    <w:bookmarkEnd w:id="31"/>
    <w:bookmarkStart w:id="32" w:name="abstract"/>
    <w:p>
      <w:pPr>
        <w:pStyle w:val="Heading2"/>
      </w:pPr>
      <w:r>
        <w:t xml:space="preserve">Abstract:</w:t>
      </w:r>
    </w:p>
    <w:p>
      <w:pPr>
        <w:pStyle w:val="FirstParagraph"/>
      </w:pPr>
      <w: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pStyle w:val="BodyText"/>
      </w:pPr>
      <w:r>
        <w:rPr>
          <w:bCs/>
          <w:b/>
        </w:rPr>
        <w:t xml:space="preserve">Keywords:</w:t>
      </w:r>
      <w:r>
        <w:t xml:space="preserve"> </w:t>
      </w:r>
      <w:r>
        <w:t xml:space="preserve">Foreclosure, Redemption, Equitable Right.</w:t>
      </w:r>
    </w:p>
    <w:p>
      <w:pPr>
        <w:pStyle w:val="BodyText"/>
      </w:pPr>
      <w:r>
        <w:t xml:space="preserve">* Received on November 18, 2020 and authorized for publication on March 30, 2021</w:t>
      </w:r>
    </w:p>
    <w:p>
      <w:r>
        <w:pict>
          <v:rect style="width:0;height:1.5pt" o:hralign="center" o:hrstd="t" o:hr="t"/>
        </w:pict>
      </w:r>
    </w:p>
    <w:p>
      <w:pPr>
        <w:pStyle w:val="FirstParagraph"/>
      </w:pPr>
      <w:r>
        <w:t xml:space="preserve">407</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1</w:t>
      </w:r>
    </w:p>
    <w:p>
      <w:r>
        <w:pict>
          <v:rect style="width:0;height:1.5pt" o:hralign="center" o:hrstd="t" o:hr="t"/>
        </w:pict>
      </w:r>
    </w:p>
    <w:p>
      <w:pPr>
        <w:pStyle w:val="FirstParagraph"/>
      </w:pPr>
      <w:r>
        <w:t xml:space="preserve">Journal Sharia and Law, Vol. 2022, No. 91 [2022], Art. 7</w:t>
      </w:r>
    </w:p>
    <w:p>
      <w:pPr>
        <w:pStyle w:val="BodyText"/>
      </w:pPr>
      <w:r>
        <w:t xml:space="preserve">[غلق الرهن في القانون الإنجليزي دراسة تحليلية مقارنة بالفقة الإسلامي والقانون المقارن]</w:t>
      </w:r>
    </w:p>
    <w:bookmarkEnd w:id="32"/>
    <w:bookmarkEnd w:id="33"/>
    <w:bookmarkStart w:id="35" w:name="غلق-الرهن-في-القانون-الإنجليزي"/>
    <w:p>
      <w:pPr>
        <w:pStyle w:val="Heading1"/>
      </w:pPr>
      <w:r>
        <w:t xml:space="preserve">غلق الرهن في القانون الإنجليزي</w:t>
      </w:r>
    </w:p>
    <w:p>
      <w:pPr>
        <w:pStyle w:val="FirstParagraph"/>
      </w:pPr>
      <w:r>
        <w:t xml:space="preserve">دراسة تحليلية مقارنة بالفقه الإسلامي والقانون المقارن.</w:t>
      </w:r>
    </w:p>
    <w:p>
      <w:pPr>
        <w:pStyle w:val="BodyText"/>
      </w:pPr>
      <w:r>
        <w:t xml:space="preserve">د. يونس صلاح الدين علي</w:t>
      </w:r>
    </w:p>
    <w:p>
      <w:pPr>
        <w:pStyle w:val="BodyText"/>
      </w:pPr>
      <w:r>
        <w:t xml:space="preserve">أستاذ القانون الخاص المساعد - كلية القانون والعلاقات الدولية والدبلوماسية</w:t>
      </w:r>
    </w:p>
    <w:p>
      <w:pPr>
        <w:pStyle w:val="BodyText"/>
      </w:pPr>
      <w:r>
        <w:t xml:space="preserve">جامعة جيهان الخاصة - أربيل - العراق</w:t>
      </w:r>
    </w:p>
    <w:p>
      <w:pPr>
        <w:pStyle w:val="BodyText"/>
      </w:pPr>
      <w:r>
        <w:t xml:space="preserve">younis888_sss@yahoo.com</w:t>
      </w:r>
    </w:p>
    <w:bookmarkStart w:id="34" w:name="ملخص-البحث"/>
    <w:p>
      <w:pPr>
        <w:pStyle w:val="Heading2"/>
      </w:pPr>
      <w:r>
        <w:t xml:space="preserve">ملخص البحث</w:t>
      </w:r>
    </w:p>
    <w:p>
      <w:pPr>
        <w:pStyle w:val="FirstParagraph"/>
      </w:pPr>
      <w:r>
        <w:t xml:space="preserve">يعد غلق الرهن في القانون الانجليزي نوعاً من أنواع المعالجات القانونية الأكثر صرامة أو</w:t>
      </w:r>
      <w:r>
        <w:t xml:space="preserve"> </w:t>
      </w:r>
      <w:r>
        <w:t xml:space="preserve">قسوة، والتي تؤدي إلى انقضاء الحق الإنصافي الذي يتمتع به المدين الراهن في فك الرهن</w:t>
      </w:r>
      <w:r>
        <w:t xml:space="preserve"> </w:t>
      </w:r>
      <w:r>
        <w:t xml:space="preserve">واسترداد المال المرهون بسبب تخلفه عن الوفاء بالدين الموثق بالرهن. مما يتيح للدائن المرتهن</w:t>
      </w:r>
      <w:r>
        <w:t xml:space="preserve"> </w:t>
      </w:r>
      <w:r>
        <w:t xml:space="preserve">اكتساب ملكية المال المرهون بعد انتقالها إليه. كما يعد غلق الرهن أيضاً نظاماً إنصافياً، فرضته</w:t>
      </w:r>
      <w:r>
        <w:t xml:space="preserve"> </w:t>
      </w:r>
      <w:r>
        <w:t xml:space="preserve">قواعد العدالة والإنصاف، لغرض القضاء على كل مماطلة أو تقاعس من جانب المدين الراهن</w:t>
      </w:r>
      <w:r>
        <w:t xml:space="preserve"> </w:t>
      </w:r>
      <w:r>
        <w:t xml:space="preserve">عن الوفاء بالدين المضمون بالرهن. أما بالنسبة إلى القانون المدني العراقي رقم (٤٠) لسنة</w:t>
      </w:r>
      <w:r>
        <w:t xml:space="preserve"> </w:t>
      </w:r>
      <w:r>
        <w:t xml:space="preserve">١٩٥١ ، وقانون المعاملات المدنية الإماراتي الاتحادي رقم (٥) لسنة ١٩٨٥ ، فقد جسدا غلق</w:t>
      </w:r>
      <w:r>
        <w:t xml:space="preserve"> </w:t>
      </w:r>
      <w:r>
        <w:t xml:space="preserve">الرهن بشرطين من الشروط المقترنة بالعقد وهما : شرط الاتفاق على تملك الدائن المرتهن المال</w:t>
      </w:r>
      <w:r>
        <w:t xml:space="preserve"> </w:t>
      </w:r>
      <w:r>
        <w:t xml:space="preserve">المرهون عند عدم الوفاء، والثاني هو شرط الطريق الممهد ، أو ما يعرف بشرط الاتفاق على بيع</w:t>
      </w:r>
      <w:r>
        <w:t xml:space="preserve"> </w:t>
      </w:r>
      <w:r>
        <w:t xml:space="preserve">العقار المرهون دون المرور بالإجراءات القانونية وقضيا ببطلانهما في الوقت الذي أجاز فيه</w:t>
      </w:r>
      <w:r>
        <w:t xml:space="preserve"> </w:t>
      </w:r>
      <w:r>
        <w:t xml:space="preserve">القانون المدني المصري رقم (۱۳۱) لسنة ١٩٤٨ غلق الرهن استثناء وعلى نطاق ضيق.</w:t>
      </w:r>
    </w:p>
    <w:p>
      <w:pPr>
        <w:pStyle w:val="BodyText"/>
      </w:pPr>
      <w:r>
        <w:rPr>
          <w:bCs/>
          <w:b/>
        </w:rPr>
        <w:t xml:space="preserve">الكلمات المفتاحية :</w:t>
      </w:r>
      <w:r>
        <w:t xml:space="preserve"> </w:t>
      </w:r>
      <w:r>
        <w:t xml:space="preserve">غلق الرهن، فك الرهن الحق الإنصافي.</w:t>
      </w:r>
    </w:p>
    <w:p>
      <w:pPr>
        <w:pStyle w:val="BodyText"/>
      </w:pPr>
      <w:r>
        <w:t xml:space="preserve">* استُلم بتاريخ 2020/11/18 و أجيز للنشر بتاريخ 2021/03/30.</w:t>
      </w:r>
    </w:p>
    <w:p>
      <w:pPr>
        <w:pStyle w:val="BodyText"/>
      </w:pPr>
      <w:r>
        <w:t xml:space="preserve">408 السنة السادسة والثلاثون - مجلة جامعة الإمارات ]</w:t>
      </w:r>
    </w:p>
    <w:p>
      <w:pPr>
        <w:pStyle w:val="BodyText"/>
      </w:pPr>
      <w:r>
        <w:t xml:space="preserve">https://scholarworks.uaeu.ac.ae/sharia_and_law/vol2022/iss91/7</w:t>
      </w:r>
    </w:p>
    <w:p>
      <w:pPr>
        <w:pStyle w:val="BodyText"/>
      </w:pPr>
      <w:r>
        <w:t xml:space="preserve">2</w:t>
      </w:r>
    </w:p>
    <w:p>
      <w:r>
        <w:pict>
          <v:rect style="width:0;height:1.5pt" o:hralign="center" o:hrstd="t" o:hr="t"/>
        </w:pict>
      </w:r>
    </w:p>
    <w:p>
      <w:pPr>
        <w:pStyle w:val="FirstParagraph"/>
      </w:pPr>
      <w:r>
        <w:t xml:space="preserve">Ali: ??? ????? ?? ??????? ????????? ????? ??????? ?????? ?????? ???????? ???????? ???????</w:t>
      </w:r>
    </w:p>
    <w:p>
      <w:pPr>
        <w:pStyle w:val="BodyText"/>
      </w:pPr>
      <w:r>
        <w:t xml:space="preserve">د.يونس صلاح الدين علي]</w:t>
      </w:r>
    </w:p>
    <w:bookmarkEnd w:id="34"/>
    <w:bookmarkEnd w:id="35"/>
    <w:bookmarkStart w:id="48" w:name="المقدمة"/>
    <w:p>
      <w:pPr>
        <w:pStyle w:val="Heading1"/>
      </w:pPr>
      <w:r>
        <w:t xml:space="preserve">المقدمة :</w:t>
      </w:r>
    </w:p>
    <w:bookmarkStart w:id="36" w:name="أولا-مدخل-تعريفي-بموضوع-البحث"/>
    <w:p>
      <w:pPr>
        <w:pStyle w:val="Heading2"/>
      </w:pPr>
      <w:r>
        <w:t xml:space="preserve">أولاً: مدخل تعريفي بموضوع البحث:</w:t>
      </w:r>
    </w:p>
    <w:p>
      <w:pPr>
        <w:pStyle w:val="FirstParagraph"/>
      </w:pPr>
      <w: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6"/>
    <w:bookmarkStart w:id="37" w:name="ثانيا-أسباب-اختيار-موضوع-البحث"/>
    <w:p>
      <w:pPr>
        <w:pStyle w:val="Heading2"/>
      </w:pPr>
      <w:r>
        <w:t xml:space="preserve">ثانياً: أسباب اختيار موضوع البحث:</w:t>
      </w:r>
    </w:p>
    <w:p>
      <w:pPr>
        <w:pStyle w:val="FirstParagraph"/>
      </w:pPr>
      <w: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37"/>
    <w:bookmarkStart w:id="38" w:name="ثالثا-أهمية-البحث"/>
    <w:p>
      <w:pPr>
        <w:pStyle w:val="Heading2"/>
      </w:pPr>
      <w:r>
        <w:t xml:space="preserve">ثالثاً: أهمية البحث:</w:t>
      </w:r>
    </w:p>
    <w:p>
      <w:pPr>
        <w:pStyle w:val="FirstParagraph"/>
      </w:pPr>
      <w: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pStyle w:val="BodyText"/>
      </w:pPr>
      <w:r>
        <w:t xml:space="preserve">409</w:t>
      </w:r>
    </w:p>
    <w:p>
      <w:pPr>
        <w:pStyle w:val="BodyText"/>
      </w:pPr>
      <w:r>
        <w:t xml:space="preserve">العدد الواحد والتسعون - ذو الحجة ١٤٤٣ هـ يوليو ٢٠٢٢]</w:t>
      </w:r>
    </w:p>
    <w:p>
      <w:pPr>
        <w:pStyle w:val="BodyText"/>
      </w:pPr>
      <w:r>
        <w:t xml:space="preserve">Published by Scholarworks@UAEU, 2022</w:t>
      </w:r>
    </w:p>
    <w:p>
      <w:pPr>
        <w:pStyle w:val="BodyText"/>
      </w:pPr>
      <w:r>
        <w:t xml:space="preserve">3</w:t>
      </w:r>
    </w:p>
    <w:p>
      <w:r>
        <w:pict>
          <v:rect style="width:0;height:1.5pt" o:hralign="center" o:hrstd="t" o:hr="t"/>
        </w:pict>
      </w:r>
    </w:p>
    <w:p>
      <w:pPr>
        <w:pStyle w:val="FirstParagraph"/>
      </w:pPr>
      <w:r>
        <w:t xml:space="preserve">Journal Sharia and Law, Vol. 2022, No. 91 [2022], Art. 7</w:t>
      </w:r>
    </w:p>
    <w:bookmarkEnd w:id="38"/>
    <w:bookmarkStart w:id="41" w:name="X7bcfa86e6e691285dde13bca14d27d7eed58d5a"/>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Start w:id="39" w:name="رابعا-مشكلة-البحث"/>
    <w:p>
      <w:pPr>
        <w:pStyle w:val="Heading3"/>
      </w:pPr>
      <w:r>
        <w:t xml:space="preserve">رابعاً: مشكلة البحث:</w:t>
      </w:r>
    </w:p>
    <w:p>
      <w:pPr>
        <w:pStyle w:val="FirstParagraph"/>
      </w:pPr>
      <w: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39"/>
    <w:bookmarkStart w:id="40" w:name="خامسا-نطاق-البحث-ومنهجيته"/>
    <w:p>
      <w:pPr>
        <w:pStyle w:val="Heading3"/>
      </w:pPr>
      <w:r>
        <w:t xml:space="preserve">خامساً: نطاق البحث ومنهجيته:</w:t>
      </w:r>
    </w:p>
    <w:p>
      <w:pPr>
        <w:pStyle w:val="FirstParagraph"/>
      </w:pPr>
      <w: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pStyle w:val="BodyText"/>
      </w:pPr>
      <w:r>
        <w:t xml:space="preserve">410 [السنة السادسة والثلاثون - مجلة جامعة الإمارات]</w:t>
      </w:r>
    </w:p>
    <w:p>
      <w:pPr>
        <w:pStyle w:val="BodyText"/>
      </w:pPr>
      <w:r>
        <w:t xml:space="preserve">https://scholarworks.uaeu.ac.ae/sharia_and_law/vol2022/iss91/7</w:t>
      </w:r>
    </w:p>
    <w:p>
      <w:pPr>
        <w:pStyle w:val="BodyText"/>
      </w:pPr>
      <w:r>
        <w:t xml:space="preserve">4</w:t>
      </w:r>
    </w:p>
    <w:p>
      <w:r>
        <w:pict>
          <v:rect style="width:0;height:1.5pt" o:hralign="center" o:hrstd="t" o:hr="t"/>
        </w:pict>
      </w:r>
    </w:p>
    <w:p>
      <w:pPr>
        <w:pStyle w:val="FirstParagraph"/>
      </w:pPr>
      <w:r>
        <w:t xml:space="preserve">Ali: ??? ????? ?? ??????? ????????? ????? ??????? ?????? ?????? ???????? ???????? ??????? د.يونس صلاح الدين علي]</w:t>
      </w:r>
    </w:p>
    <w:p>
      <w:pPr>
        <w:pStyle w:val="BodyText"/>
      </w:pPr>
      <w: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End w:id="40"/>
    <w:bookmarkEnd w:id="41"/>
    <w:bookmarkStart w:id="42" w:name="سادسا-خطة-البحث"/>
    <w:p>
      <w:pPr>
        <w:pStyle w:val="Heading2"/>
      </w:pPr>
      <w:r>
        <w:t xml:space="preserve">سادساً: خطة البحث:</w:t>
      </w:r>
    </w:p>
    <w:p>
      <w:pPr>
        <w:pStyle w:val="FirstParagraph"/>
      </w:pPr>
      <w:r>
        <w:t xml:space="preserve">في ضوء ما تقدم فقد توزعت هذه الدراسة على ثلاثة مباحث وعلى النحو الآتي:</w:t>
      </w:r>
    </w:p>
    <w:p>
      <w:pPr>
        <w:numPr>
          <w:ilvl w:val="0"/>
          <w:numId w:val="1001"/>
        </w:numPr>
        <w:pStyle w:val="Compact"/>
      </w:pPr>
      <w:r>
        <w:t xml:space="preserve">المبحث الأول: مفهوم غلق الرهن في القانونين الإنجليزي والمقارن</w:t>
      </w:r>
    </w:p>
    <w:p>
      <w:pPr>
        <w:numPr>
          <w:ilvl w:val="0"/>
          <w:numId w:val="1001"/>
        </w:numPr>
        <w:pStyle w:val="Compact"/>
      </w:pPr>
      <w:r>
        <w:t xml:space="preserve">المبحث الثاني: موقف الفقه الإسلامي من غلق الرهن ومدى تأثر القوانين المقارنة به</w:t>
      </w:r>
    </w:p>
    <w:p>
      <w:pPr>
        <w:numPr>
          <w:ilvl w:val="0"/>
          <w:numId w:val="1001"/>
        </w:numPr>
        <w:pStyle w:val="Compact"/>
      </w:pPr>
      <w:r>
        <w:t xml:space="preserve">المبحث الثالث: الآثار القانونية المترتبة على غلق الرهن في القانونين الإنجليزي والمقارن</w:t>
      </w:r>
    </w:p>
    <w:bookmarkEnd w:id="42"/>
    <w:bookmarkStart w:id="44" w:name="المبحث-الأول"/>
    <w:p>
      <w:pPr>
        <w:pStyle w:val="Heading2"/>
      </w:pPr>
      <w:r>
        <w:t xml:space="preserve">المبحث الأول</w:t>
      </w:r>
    </w:p>
    <w:bookmarkStart w:id="43" w:name="Xe308d6de4b1a01c59dd52aa630969b0b02039e7"/>
    <w:p>
      <w:pPr>
        <w:pStyle w:val="Heading3"/>
      </w:pPr>
      <w:r>
        <w:t xml:space="preserve">مفهوم غلق الرهن في القانونين الإنجليزي والمقارن</w:t>
      </w:r>
    </w:p>
    <w:p>
      <w:pPr>
        <w:pStyle w:val="FirstParagraph"/>
      </w:pPr>
      <w: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43"/>
    <w:bookmarkEnd w:id="44"/>
    <w:bookmarkStart w:id="46" w:name="المطلب-الأول"/>
    <w:p>
      <w:pPr>
        <w:pStyle w:val="Heading2"/>
      </w:pPr>
      <w:r>
        <w:t xml:space="preserve">المطلب الأول</w:t>
      </w:r>
    </w:p>
    <w:bookmarkStart w:id="45" w:name="X9f8c29f36b6ab9b36be003e8522e0e8598d66a1"/>
    <w:p>
      <w:pPr>
        <w:pStyle w:val="Heading3"/>
      </w:pPr>
      <w:r>
        <w:t xml:space="preserve">تعریف غلق الرهن في القانونين الإنجليزي والمقارن</w:t>
      </w:r>
    </w:p>
    <w:p>
      <w:pPr>
        <w:pStyle w:val="FirstParagraph"/>
      </w:pPr>
      <w:r>
        <w:t xml:space="preserve">عرف جانب من الفقه الإنجليزي (۱) غلق الرهن (Foreclosure) بأنه المعالجة الأكثر</w:t>
      </w:r>
    </w:p>
    <w:p>
      <w:r>
        <w:pict>
          <v:rect style="width:0;height:1.5pt" o:hralign="center" o:hrstd="t" o:hr="t"/>
        </w:pict>
      </w:r>
    </w:p>
    <w:p>
      <w:pPr>
        <w:pStyle w:val="FirstParagraph"/>
      </w:pPr>
      <w:r>
        <w:t xml:space="preserve">(1) Daniel F. Hinkel. Practical Real Estate Law. Fifth Edition. West Legal Studies. New York. 2008. P.288.</w:t>
      </w:r>
    </w:p>
    <w:p>
      <w:pPr>
        <w:pStyle w:val="BodyText"/>
      </w:pPr>
      <w:r>
        <w:t xml:space="preserve">411</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5</w:t>
      </w:r>
    </w:p>
    <w:p>
      <w:r>
        <w:pict>
          <v:rect style="width:0;height:1.5pt" o:hralign="center" o:hrstd="t" o:hr="t"/>
        </w:pict>
      </w:r>
    </w:p>
    <w:p>
      <w:pPr>
        <w:pStyle w:val="FirstParagraph"/>
      </w:pPr>
      <w:r>
        <w:t xml:space="preserve">Journal Sharia and Law, Vol. 2022, No. 91 [2022], Art. 7</w:t>
      </w:r>
    </w:p>
    <w:bookmarkEnd w:id="45"/>
    <w:bookmarkEnd w:id="46"/>
    <w:bookmarkStart w:id="47" w:name="X477e3f383a595b8d9f7419020b831c0f38adc47"/>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صرامة أو قسوة (The Most Drastic or Draconian Remedy)، التي يتمتع بها الدائن</w:t>
      </w:r>
      <w:r>
        <w:t xml:space="preserve"> </w:t>
      </w:r>
      <w:r>
        <w:t xml:space="preserve">المرتهن في مواجهة المدين الراهن، المالك الأصلي للمال المرهون، والتي يتم بمقتضاها إنهاء الحق</w:t>
      </w:r>
      <w:r>
        <w:t xml:space="preserve"> </w:t>
      </w:r>
      <w:r>
        <w:t xml:space="preserve">الإنصافي للأخير في فك الرهن واستعادة المال المرهون بسبب تخلفه عن الوفاء بالدين الموثق</w:t>
      </w:r>
      <w:r>
        <w:t xml:space="preserve"> </w:t>
      </w:r>
      <w:r>
        <w:t xml:space="preserve">بالرهن، وانتقال ملكية المال المرهون إلى الدائن المرتهن بعد حصوله على أمر من المحكمة</w:t>
      </w:r>
      <w:r>
        <w:t xml:space="preserve"> </w:t>
      </w:r>
      <w:r>
        <w:t xml:space="preserve">بذلك. وعرفه رأي آخر في الفقه الإنجليزي</w:t>
      </w:r>
      <w:r>
        <w:t xml:space="preserve"> </w:t>
      </w:r>
      <w:r>
        <w:rPr>
          <w:vertAlign w:val="superscript"/>
        </w:rPr>
        <w:t xml:space="preserve">(2)</w:t>
      </w:r>
      <w:r>
        <w:t xml:space="preserve"> </w:t>
      </w:r>
      <w:r>
        <w:t xml:space="preserve">بأنه إنهاء حق المدين الراهن في فك الرهن بأمر</w:t>
      </w:r>
      <w:r>
        <w:t xml:space="preserve"> </w:t>
      </w:r>
      <w:r>
        <w:t xml:space="preserve">المحكمة واكتساب الدائن المرتهن لملكية العقار المرهون (Title to the Mortgaged Land)</w:t>
      </w:r>
      <w:r>
        <w:t xml:space="preserve"> </w:t>
      </w:r>
      <w:r>
        <w:t xml:space="preserve">كمقابل للوفاء الكامل بالدين المضمون (Full Satisfaction of the Debt)، فيصير المالك</w:t>
      </w:r>
      <w:r>
        <w:t xml:space="preserve"> </w:t>
      </w:r>
      <w:r>
        <w:t xml:space="preserve">المطلق للمال (Absolute Owner). وعرف أيضاً</w:t>
      </w:r>
      <w:r>
        <w:t xml:space="preserve"> </w:t>
      </w:r>
      <w:r>
        <w:rPr>
          <w:vertAlign w:val="superscript"/>
        </w:rPr>
        <w:t xml:space="preserve">(3)</w:t>
      </w:r>
      <w:r>
        <w:t xml:space="preserve"> </w:t>
      </w:r>
      <w:r>
        <w:t xml:space="preserve">بأنه وضع حد لحق المدين الراهن في فك</w:t>
      </w:r>
      <w:r>
        <w:t xml:space="preserve"> </w:t>
      </w:r>
      <w:r>
        <w:t xml:space="preserve">الرهن (Right to Redeem)، نتيجة ممارسته من الدائن المرتهن. وعرف بأنه</w:t>
      </w:r>
      <w:r>
        <w:t xml:space="preserve"> </w:t>
      </w:r>
      <w:r>
        <w:rPr>
          <w:vertAlign w:val="superscript"/>
        </w:rPr>
        <w:t xml:space="preserve">(4)</w:t>
      </w:r>
      <w:r>
        <w:t xml:space="preserve"> </w:t>
      </w:r>
      <w:r>
        <w:t xml:space="preserve">إجراء قضائي</w:t>
      </w:r>
      <w:r>
        <w:t xml:space="preserve"> </w:t>
      </w:r>
      <w:r>
        <w:t xml:space="preserve">يترتب عليه انقضاء جميع حقوق المدين الراهن على العقار المرهون، بما في ذلك حقه في فك</w:t>
      </w:r>
      <w:r>
        <w:t xml:space="preserve"> </w:t>
      </w:r>
      <w:r>
        <w:t xml:space="preserve">الرهن، واستعادة العقار المرهون. وبالتالي انتقال جميع حقوقه إلى الدائن المرتهن. وهو الأثر</w:t>
      </w:r>
      <w:r>
        <w:t xml:space="preserve"> </w:t>
      </w:r>
      <w:r>
        <w:t xml:space="preserve">الأكثر أهمية المترتب على غلق الرهن. وعلى هذا الأساس واستناداً على جميع التعاريف السابقة</w:t>
      </w:r>
      <w:r>
        <w:t xml:space="preserve"> </w:t>
      </w:r>
      <w:r>
        <w:t xml:space="preserve">فقد لخص رأي في الفقه الإنجليزي</w:t>
      </w:r>
      <w:r>
        <w:t xml:space="preserve"> </w:t>
      </w:r>
      <w:r>
        <w:rPr>
          <w:vertAlign w:val="superscript"/>
        </w:rPr>
        <w:t xml:space="preserve">(5)</w:t>
      </w:r>
      <w:r>
        <w:t xml:space="preserve"> </w:t>
      </w:r>
      <w:r>
        <w:t xml:space="preserve">الوظيفة السلبية التي يقوم بها غلق الرهن والمتمثلة</w:t>
      </w:r>
      <w:r>
        <w:t xml:space="preserve"> </w:t>
      </w:r>
      <w:r>
        <w:t xml:space="preserve">بمصادرة حقوق المدين الراهن (Confiscation of the Mortgagor's Rights)، ومن أهمها</w:t>
      </w:r>
      <w:r>
        <w:t xml:space="preserve"> </w:t>
      </w:r>
      <w:r>
        <w:t xml:space="preserve">حقه في فك الرهن، واسترداد المال المرهون، إذ يترتب على غلق الرهن أثر مهم جداً هو وضع</w:t>
      </w:r>
      <w:r>
        <w:t xml:space="preserve"> </w:t>
      </w:r>
      <w:r>
        <w:t xml:space="preserve">حد لحق فك الرهن الإنصافي (Equity (Right) of Redemption) الذي يتمتع به المدين</w:t>
      </w:r>
      <w:r>
        <w:t xml:space="preserve"> </w:t>
      </w:r>
      <w:r>
        <w:t xml:space="preserve">الراهن</w:t>
      </w:r>
      <w:r>
        <w:t xml:space="preserve"> </w:t>
      </w:r>
      <w:r>
        <w:rPr>
          <w:vertAlign w:val="superscript"/>
        </w:rPr>
        <w:t xml:space="preserve">(6)</w:t>
      </w:r>
      <w:r>
        <w:t xml:space="preserve">. ولا يتمتع الدائن المرتهن بممارسة حقه في غلق الرهن وتملك العقار المرهون، إلا إذا</w:t>
      </w:r>
    </w:p>
    <w:p>
      <w:r>
        <w:pict>
          <v:rect style="width:0;height:1.5pt" o:hralign="center" o:hrstd="t" o:hr="t"/>
        </w:pict>
      </w:r>
    </w:p>
    <w:p>
      <w:pPr>
        <w:pStyle w:val="FirstParagraph"/>
      </w:pPr>
      <w:r>
        <w:t xml:space="preserve">(2) Rojer J. Smith. Introduction to land Law. Longman Pearson Education Limited. 2007.</w:t>
      </w:r>
      <w:r>
        <w:t xml:space="preserve"> </w:t>
      </w:r>
      <w:r>
        <w:t xml:space="preserve">P.275.</w:t>
      </w:r>
    </w:p>
    <w:p>
      <w:pPr>
        <w:pStyle w:val="BodyText"/>
      </w:pPr>
      <w:r>
        <w:t xml:space="preserve">(3) James Karp &amp; Elliot Klayman. Real Estate Law. Fifth Edition. Dearborn Financial</w:t>
      </w:r>
      <w:r>
        <w:t xml:space="preserve"> </w:t>
      </w:r>
      <w:r>
        <w:t xml:space="preserve">Publishing Inc. 2003.P.462.</w:t>
      </w:r>
    </w:p>
    <w:p>
      <w:pPr>
        <w:pStyle w:val="BodyText"/>
      </w:pPr>
      <w:r>
        <w:t xml:space="preserve">(4) Chris Davies. Property Law Guidebook. Second Edition. Oxford University Press. 2015.</w:t>
      </w:r>
      <w:r>
        <w:t xml:space="preserve"> </w:t>
      </w:r>
      <w:r>
        <w:t xml:space="preserve">P.112.</w:t>
      </w:r>
    </w:p>
    <w:p>
      <w:pPr>
        <w:pStyle w:val="BodyText"/>
      </w:pPr>
      <w:r>
        <w:t xml:space="preserve">(5) Douglas Wood. Law and the Built Environment. First Edition. MACMILLAN PRESS</w:t>
      </w:r>
      <w:r>
        <w:t xml:space="preserve"> </w:t>
      </w:r>
      <w:r>
        <w:t xml:space="preserve">LTD.London. 1999. P.137.</w:t>
      </w:r>
    </w:p>
    <w:p>
      <w:pPr>
        <w:pStyle w:val="BodyText"/>
      </w:pPr>
      <w:r>
        <w:t xml:space="preserve">(6) Kevin Gray &amp; Susan Francis Gray. Land Law. Seventh Edition. Oxford University Press.</w:t>
      </w:r>
    </w:p>
    <w:p>
      <w:pPr>
        <w:pStyle w:val="BodyText"/>
      </w:pPr>
      <w:r>
        <w:t xml:space="preserve">السنة السادسة والثلاثون - مجلة جامعة الإمارات ]</w:t>
      </w:r>
    </w:p>
    <w:p>
      <w:pPr>
        <w:pStyle w:val="BodyText"/>
      </w:pPr>
      <w:r>
        <w:t xml:space="preserve">412</w:t>
      </w:r>
    </w:p>
    <w:p>
      <w:pPr>
        <w:pStyle w:val="BodyText"/>
      </w:pPr>
      <w:r>
        <w:t xml:space="preserve">https://scholarworks.uaeu.ac.ae/sharia_and_law/vol2022/iss91/7</w:t>
      </w:r>
    </w:p>
    <w:p>
      <w:pPr>
        <w:pStyle w:val="BodyText"/>
      </w:pPr>
      <w:r>
        <w:t xml:space="preserve">6</w:t>
      </w:r>
    </w:p>
    <w:p>
      <w:r>
        <w:pict>
          <v:rect style="width:0;height:1.5pt" o:hralign="center" o:hrstd="t" o:hr="t"/>
        </w:pict>
      </w:r>
    </w:p>
    <w:p>
      <w:pPr>
        <w:pStyle w:val="FirstParagraph"/>
      </w:pPr>
      <w:r>
        <w:t xml:space="preserve">علي: مجلة العلوم الإنسانية والمجتمع، مجلد 7، العدد 2، ص. 410-425</w:t>
      </w:r>
    </w:p>
    <w:p>
      <w:pPr>
        <w:pStyle w:val="BodyText"/>
      </w:pPr>
      <w:r>
        <w:t xml:space="preserve">د.يونس صلاح الدين علي]</w:t>
      </w:r>
    </w:p>
    <w:p>
      <w:pPr>
        <w:pStyle w:val="BodyText"/>
      </w:pPr>
      <w: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 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 أما القانون المقارن المتمثل بالقوانين العراقي والإماراتي والمصري فقد أشارت هذه القوانين إلى غلق الرهن وعدته باطلاً بمقتضى المادة (۱۳۰۱)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r>
        <w:pict>
          <v:rect style="width:0;height:1.5pt" o:hralign="center" o:hrstd="t" o:hr="t"/>
        </w:pict>
      </w:r>
    </w:p>
    <w:p>
      <w:pPr>
        <w:pStyle w:val="FirstParagraph"/>
      </w:pPr>
      <w:r>
        <w:t xml:space="preserve">2011. P.316.</w:t>
      </w:r>
    </w:p>
    <w:p>
      <w:pPr>
        <w:numPr>
          <w:ilvl w:val="0"/>
          <w:numId w:val="1002"/>
        </w:numPr>
        <w:pStyle w:val="Compact"/>
      </w:pPr>
      <w:r>
        <w:t xml:space="preserve">Daniel F. Hinkel. op. Cit. P.288.</w:t>
      </w:r>
    </w:p>
    <w:p>
      <w:pPr>
        <w:numPr>
          <w:ilvl w:val="0"/>
          <w:numId w:val="1002"/>
        </w:numPr>
        <w:pStyle w:val="Compact"/>
      </w:pPr>
      <w:r>
        <w:t xml:space="preserve">Rojer J. Smith. Property Law. Eighth Edition. PEARSON Education Limited. London. 2014. P.592.</w:t>
      </w:r>
    </w:p>
    <w:p>
      <w:pPr>
        <w:numPr>
          <w:ilvl w:val="0"/>
          <w:numId w:val="1002"/>
        </w:numPr>
        <w:pStyle w:val="Compact"/>
      </w:pPr>
      <w:r>
        <w:t xml:space="preserve">Chris Davies. op. Cit. P.112.</w:t>
      </w:r>
    </w:p>
    <w:p>
      <w:pPr>
        <w:numPr>
          <w:ilvl w:val="0"/>
          <w:numId w:val="1002"/>
        </w:numPr>
        <w:pStyle w:val="Compact"/>
      </w:pPr>
      <w:r>
        <w:t xml:space="preserve">Steven L. Emanuel. Emanuel law outlines. Property. Ninth Edition. Wolters Kluwer. New York.2017. P.479.</w:t>
      </w:r>
    </w:p>
    <w:p>
      <w:pPr>
        <w:pStyle w:val="FirstParagraph"/>
      </w:pPr>
      <w:r>
        <w:t xml:space="preserve">413</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7</w:t>
      </w:r>
    </w:p>
    <w:p>
      <w:r>
        <w:pict>
          <v:rect style="width:0;height:1.5pt" o:hralign="center" o:hrstd="t" o:hr="t"/>
        </w:pict>
      </w:r>
    </w:p>
    <w:p>
      <w:pPr>
        <w:pStyle w:val="FirstParagraph"/>
      </w:pPr>
      <w:r>
        <w:t xml:space="preserve">Journal Sharia and Law, Vol. 2022, No. 91 [2022], Art. 7</w:t>
      </w:r>
    </w:p>
    <w:bookmarkEnd w:id="47"/>
    <w:bookmarkEnd w:id="48"/>
    <w:bookmarkStart w:id="50" w:name="Xf19045de1c45ea7db2cfb801f08638ec952fe58"/>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 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 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وعرف(۱۳) جانب من فقه قانون</w:t>
      </w:r>
    </w:p>
    <w:p>
      <w:r>
        <w:pict>
          <v:rect style="width:0;height:1.5pt" o:hralign="center" o:hrstd="t" o:hr="t"/>
        </w:pict>
      </w:r>
    </w:p>
    <w:p>
      <w:pPr>
        <w:pStyle w:val="FirstParagraph"/>
      </w:pPr>
      <w:r>
        <w:t xml:space="preserve">(۱۱) محمد طه البشير ود. غني حسون طه. الحقوق العينية الجزء الثاني. الحقوق العينية التبعية. وزارة التعليم العالي. بغداد. ۱۹۸۲، ص ٤٢٩ و ٤٣١.</w:t>
      </w:r>
    </w:p>
    <w:p>
      <w:pPr>
        <w:pStyle w:val="BodyText"/>
      </w:pPr>
      <w:r>
        <w:t xml:space="preserve">(۱۲) 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pStyle w:val="BodyText"/>
      </w:pPr>
      <w:r>
        <w:t xml:space="preserve">(۱۳) د. وهبة الزحيلي. العقود المسماة في قانون المعاملات المدنية الإماراتي والقانون المدني الأردني. دار الفكر للطباعة</w:t>
      </w:r>
    </w:p>
    <w:p>
      <w:pPr>
        <w:pStyle w:val="BodyText"/>
      </w:pPr>
      <w:r>
        <w:t xml:space="preserve">[السنة السادسة والثلاثون - مجلة جامعة الإمارات ]</w:t>
      </w:r>
    </w:p>
    <w:p>
      <w:pPr>
        <w:pStyle w:val="BodyText"/>
      </w:pPr>
      <w:r>
        <w:t xml:space="preserve">414</w:t>
      </w:r>
    </w:p>
    <w:p>
      <w:pPr>
        <w:pStyle w:val="BodyText"/>
      </w:pPr>
      <w:r>
        <w:t xml:space="preserve">https://scholarworks.uaeu.ac.ae/sharia_and_law/vol2022/iss91/7</w:t>
      </w:r>
    </w:p>
    <w:p>
      <w:pPr>
        <w:pStyle w:val="BodyText"/>
      </w:pPr>
      <w:r>
        <w:t xml:space="preserve">8</w:t>
      </w:r>
    </w:p>
    <w:p>
      <w:r>
        <w:pict>
          <v:rect style="width:0;height:1.5pt" o:hralign="center" o:hrstd="t" o:hr="t"/>
        </w:pict>
      </w:r>
    </w:p>
    <w:p>
      <w:pPr>
        <w:pStyle w:val="FirstParagraph"/>
      </w:pPr>
      <w:r>
        <w:t xml:space="preserve">Ali: ??? ????? ?? ??????? ????????? ????? ??????? ?????? ?????? ???????? ???????? ???????</w:t>
      </w:r>
    </w:p>
    <w:bookmarkStart w:id="49" w:name="د.يونس-صلاح-الدين-علي"/>
    <w:p>
      <w:pPr>
        <w:pStyle w:val="Heading3"/>
      </w:pPr>
      <w:r>
        <w:t xml:space="preserve">د.يونس صلاح الدين علي]</w:t>
      </w:r>
    </w:p>
    <w:p>
      <w:pPr>
        <w:pStyle w:val="FirstParagraph"/>
      </w:pPr>
      <w:r>
        <w:t xml:space="preserve">المعاملات المدنية الإماراتي شرط غلق الرهن المتمثل بشرط تملك المرهون بأنه اشتراط المرتهن في العقد تملك المرهون في مقابل دينه، إن لم يؤده الراهن في الأجل المعين. أما شرط الطريق الممهد أو الاتفاق على بيع العقار المرهون دون المرور بالإجراءات القانونية، فقد عرفه جانب من فقه القانون المدني العراقي (١٤) بأنه اشتراط الدائن المرتهن على المدين الراهن قبوله إجراء بيع العقار المرهون دون اتباع الإجراءات التي قررها القانون وعرفه جانب من فقه قانون المعاملات المدنية الاتحادي الإماراتي (١٥) بأنه شرط باطل يشترط بمقتضاه المرتهن على الراهن في العقد بيع المال المرهون دون مراعاة الإجراءات القانونية، فالرهن صحيح والشرط باطل. كما عرفه الفقيه السنهوري (١٦) أيضاً بأنه اتفاق الدائن المرتهن مع الراهن مديناً كان أم كفيلاً عينياً، على أنه عند حلول أجل الدين وعدم الوفاء به يجوز بيع العقار المرهون بالممارسة أو بأية طريقة كانت دون اتباع الإجراءات التي فرضها تقنين المرافعات في البيوع الجبرية. كما يتبين لنا أيضاً من نص المادة (۱۳۰۱ ) من القانون المدني العراقي، والمادة ( ١٤٢٠) من قانون المعاملات المدنية الاتحادي الإماراتي، والتعاريف الفقهية التي أوردناها بأن غلق الرهن قد يكون في صورة شرط اتفاقي يدرج في عقد الرهن ويقوم بوظيفة محددة تتمثل بالسماح للدائن المرتهن تملك المال المرهون، عند عدم استيفاء حقه المتمثل بالدين الموثق بالرهن وقت حلول ميعاد الاستحقاق. فيعني غلق الرهن في هذه الحالة ملك المرتهن للمرهون واستحقاقه له (١٧). فيقال غلق الرهن</w:t>
      </w:r>
    </w:p>
    <w:p>
      <w:pPr>
        <w:pStyle w:val="BodyText"/>
      </w:pPr>
      <w:r>
        <w:t xml:space="preserve">والتوزيع والنشر دمشق الطبعة الأولى. ١٩٨٧ . ص ٣٥٢.</w:t>
      </w:r>
    </w:p>
    <w:p>
      <w:pPr>
        <w:numPr>
          <w:ilvl w:val="0"/>
          <w:numId w:val="1003"/>
        </w:numPr>
        <w:pStyle w:val="Compact"/>
      </w:pPr>
      <w:r>
        <w:t xml:space="preserve">محمد طه البشير ود.غني حسون طه. الحقوق العينية. الجزء الثاني. الحقوق العينية التبعية. وزارة التعليم العالي. بغداد. ۱۹۸۲، ص ٤٢٩ و ٤٣١.</w:t>
      </w:r>
    </w:p>
    <w:p>
      <w:pPr>
        <w:numPr>
          <w:ilvl w:val="0"/>
          <w:numId w:val="1003"/>
        </w:numPr>
        <w:pStyle w:val="Compact"/>
      </w:pPr>
      <w:r>
        <w:t xml:space="preserve">د. وهبة الزحيلي. مصدر سابق. ص ٣٥٣.</w:t>
      </w:r>
    </w:p>
    <w:p>
      <w:pPr>
        <w:numPr>
          <w:ilvl w:val="0"/>
          <w:numId w:val="1003"/>
        </w:numPr>
        <w:pStyle w:val="Compact"/>
      </w:pPr>
      <w:r>
        <w:t xml:space="preserve">د. عبد الرزاق أحمد السنهوري. الوسيط في شرح القانون المدني. ج ۱۰ . مصدر سابق. ص ٣٣٢ و ٣٣٤.</w:t>
      </w:r>
    </w:p>
    <w:p>
      <w:pPr>
        <w:numPr>
          <w:ilvl w:val="0"/>
          <w:numId w:val="1003"/>
        </w:numPr>
        <w:pStyle w:val="Compact"/>
      </w:pPr>
      <w:r>
        <w:t xml:space="preserve">د. وهبة الزحيلي. الفقه الإسلامي وأدلته الشامل للأدلة الشرعية والآراء المذهبية 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 ص١٨٢.</w:t>
      </w:r>
    </w:p>
    <w:p>
      <w:pPr>
        <w:pStyle w:val="FirstParagraph"/>
      </w:pPr>
      <w:r>
        <w:t xml:space="preserve">415</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9</w:t>
      </w:r>
    </w:p>
    <w:p>
      <w:r>
        <w:pict>
          <v:rect style="width:0;height:1.5pt" o:hralign="center" o:hrstd="t" o:hr="t"/>
        </w:pict>
      </w:r>
    </w:p>
    <w:p>
      <w:pPr>
        <w:pStyle w:val="FirstParagraph"/>
      </w:pPr>
      <w:r>
        <w:t xml:space="preserve">Journal Sharia and Law, Vol. 2022, No. 91 [2022], Art. 7</w:t>
      </w:r>
    </w:p>
    <w:bookmarkEnd w:id="49"/>
    <w:bookmarkEnd w:id="50"/>
    <w:bookmarkStart w:id="53" w:name="X937002687b19b160b4b3ce6425621ccef188401"/>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للمرتهن أي استحقه (۱۸)، وصار ملكه لعجز الراهن عن فكاكه (۱۹). أو السماح للدائن المرتهن ببيع العقار المرهون دون اتباع الإجراءات التي رسمها القانون. وقد أبطل القانونان العراقي والإماراتي شرط غلق الرهن، وذلك لأن غلق الرهن يقوم على أساس استغلال الدائن المرتهن ضعف المركز المالي للمدين الراهن، ورغبته في تملك المال المرهون مباشرة، بعد حلول أجل الدين، ومن دون المرور بالإجراءات التي قررها القانون في بيع المال المرهون (٢٠)، على الرغم من تمتعه بحق الأفضلية في استيفاء دينه من قيمة العقار المرهون(۲۱). وقد تأثرا في موقفهما هذا من غلق الرهن بالفقه الإسلامي الجليل، وكان منهجهما في ذلك حديث رسول الله صلى الله عليه وسلم ( لا يُغلق الرهن من صاحبه الذي رهنه ، له غنمه وعليه غُرمه).</w:t>
      </w:r>
    </w:p>
    <w:p>
      <w:pPr>
        <w:pStyle w:val="BodyText"/>
      </w:pPr>
      <w:r>
        <w:t xml:space="preserve">وبعد استعراض تعريف غلق الرهن في القانونين الإنجليزي والمقارن يتبين لنا بأن القانون الإنجليزي اتجه خلافاً للقوانين المقارنة الثلاثة العراقي والإماراتي والمصري، بإجازته لغلق الرهن كأصل عام، في الوقت الذي أبطلته القوانين الثلاثة أصلاً، وأجازه القانون المدني المصري استثناء. ويمكننا تعريف غلق الرهن بأنه وسيلة تؤدي إلى أيلولة ملكية المال المرهون إلى الدائن المرتهن من المدين الراهن، بمقتضى شرط تعاقدي يسمح للدائن المرتهن تملك المال المرهون مباشرةً، عند حلول أجل الدين المضمون بالرهن، وعدم قيام المدين الراهن بالوفاء به. وقد ينشأ هذا الاتفاق على غلق الرهن وقت إبرام عقد الرهن، أو بعد انعقاده وقبل حلول أجل الدين، أو حتى بعد حلول أجل الدين.</w:t>
      </w:r>
    </w:p>
    <w:p>
      <w:pPr>
        <w:numPr>
          <w:ilvl w:val="0"/>
          <w:numId w:val="1004"/>
        </w:numPr>
        <w:pStyle w:val="Compact"/>
      </w:pPr>
      <w:r>
        <w:t xml:space="preserve">(۱۸) محمد بن علي بن محمد الشوكاني. نيل الأوطار شرح منتقى الأخبار بيت الأفكار الدولية. لبنان. ٢٠٠٤. ص ۱۰۳۷.</w:t>
      </w:r>
    </w:p>
    <w:p>
      <w:pPr>
        <w:numPr>
          <w:ilvl w:val="0"/>
          <w:numId w:val="1004"/>
        </w:numPr>
        <w:pStyle w:val="Compact"/>
      </w:pPr>
      <w:r>
        <w:t xml:space="preserve">(۱۹) د. منصور حاتم محسن الفتلاوي وزينب حسين يوسف الغرابي. الاتفاقات المعدلة لآثار الرهن دراسة قانونية مقارنة بالفقه الاسلامي. دار الأيام للنشر والتوزيع. عمان الأردن. ۲۰۱۸. ص ۲۰.</w:t>
      </w:r>
    </w:p>
    <w:p>
      <w:pPr>
        <w:numPr>
          <w:ilvl w:val="0"/>
          <w:numId w:val="1004"/>
        </w:numPr>
        <w:pStyle w:val="Compact"/>
      </w:pPr>
      <w:r>
        <w:t xml:space="preserve">(۲۰) د. عصمت عبد المجيد بكر. الوجيز في العقود المدنية المسماة الرهن منشورات زين الحقوقية. بيروت لبنان. ۲۰۱۹. ص۲۲۸.</w:t>
      </w:r>
    </w:p>
    <w:p>
      <w:pPr>
        <w:numPr>
          <w:ilvl w:val="0"/>
          <w:numId w:val="1004"/>
        </w:numPr>
        <w:pStyle w:val="Compact"/>
      </w:pPr>
      <w:r>
        <w:t xml:space="preserve">(۲۱) د. سمير عبد السيد تناغو. التأمينات الشخصية والعينية، الكفالة - الرهن الرسمي - حق الاختصاص الرهن الحيازي - حقوق الامتياز. مطبعة أطلس القاهرة . ١٩٩٤ . ص ١٢٥.</w:t>
      </w:r>
    </w:p>
    <w:p>
      <w:pPr>
        <w:pStyle w:val="FirstParagraph"/>
      </w:pPr>
      <w:r>
        <w:t xml:space="preserve">416</w:t>
      </w:r>
    </w:p>
    <w:p>
      <w:pPr>
        <w:pStyle w:val="BodyText"/>
      </w:pPr>
      <w:r>
        <w:t xml:space="preserve">السنة السادسة والثلاثون - مجلة جامعة الإمارات ]</w:t>
      </w:r>
    </w:p>
    <w:p>
      <w:pPr>
        <w:pStyle w:val="BodyText"/>
      </w:pPr>
      <w:r>
        <w:t xml:space="preserve">https://scholarworks.uaeu.ac.ae/sharia_and_law/vol2022/iss91/7</w:t>
      </w:r>
    </w:p>
    <w:p>
      <w:pPr>
        <w:pStyle w:val="BodyText"/>
      </w:pPr>
      <w:r>
        <w:t xml:space="preserve">10</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r>
        <w:pict>
          <v:rect style="width:0;height:1.5pt" o:hralign="center" o:hrstd="t" o:hr="t"/>
        </w:pict>
      </w:r>
    </w:p>
    <w:bookmarkStart w:id="52" w:name="المطلب-الثاني"/>
    <w:p>
      <w:pPr>
        <w:pStyle w:val="Heading2"/>
      </w:pPr>
      <w:r>
        <w:t xml:space="preserve">المطلب الثاني</w:t>
      </w:r>
    </w:p>
    <w:bookmarkStart w:id="51" w:name="Xe36fe80839ae63cad1565c29d3fcee77a0289bd"/>
    <w:p>
      <w:pPr>
        <w:pStyle w:val="Heading3"/>
      </w:pPr>
      <w:r>
        <w:t xml:space="preserve">خصائص غلق الرهن في القانونين الإنجليزي والمقارن</w:t>
      </w:r>
    </w:p>
    <w:p>
      <w:pPr>
        <w:pStyle w:val="FirstParagraph"/>
      </w:pPr>
      <w:r>
        <w:t xml:space="preserve">يتسم غلق الرهن في القانونين الإنجليزي والمقارن بالخصائص الآتية:</w:t>
      </w:r>
    </w:p>
    <w:p>
      <w:pPr>
        <w:pStyle w:val="BodyText"/>
      </w:pPr>
      <w:r>
        <w:t xml:space="preserve">أولاً: يعد غلق الرهن نوعاً من أنواع المعالجات الصارمة (Drastic Remedy) التي تتيح المحكمة الإنجليزية للدائن المرتهن فرضها على المدين الراهن (۲۲) ، أو هو المعالجة الأكثر قسوة أو صرامة (Draconian Remedy) في حالة تخلف المدين الراهن عن الوفاء بالدين المضمون بالرهن (٢٣) . كما أنه من أقوى الوسائل التي يتمتع بها الدائن المضمون (Secured Creditor)، أي الدائن المرتهن، لتحطيم وإنهاء الحق الإنصافي للمدين الراهن في فك الرهن Destroying) .(٢٤) the Equity of Redemption)</w:t>
      </w:r>
    </w:p>
    <w:p>
      <w:pPr>
        <w:pStyle w:val="BodyText"/>
      </w:pPr>
      <w:r>
        <w:t xml:space="preserve">ثانياً: ويتسم غلق الرهن في القانون الإنجليزي بأنه وسيلة فاعلة للقضاء على حق فك الرهن الإنصافي الذي يتمتع به المدين الراهن (٢٥) ، ويضع العقار المرهون (Mortgaged Land) بكل قيمته في يد الدائن المرتهن (٢٦) ، وبصرف النظر عن مقدار الدين الموثق بالرهن، ولا يترك للمدين الراهن أي حق في المطالبة بالفرق بين قيمة العقار المرهون والدين المضمون بالرهن (٢٧) . وبسبب طبيعته (Drastic Remedy) فقد وضعته الفقرة الثانية من المادتين (۸۸) و (۸۹) من تشريع قانون الملكية لعام ۱۹۲٥ (1925 The Law of Property Act) تحت السلطة</w:t>
      </w:r>
    </w:p>
    <w:p>
      <w:r>
        <w:pict>
          <v:rect style="width:0;height:1.5pt" o:hralign="center" o:hrstd="t" o:hr="t"/>
        </w:pict>
      </w:r>
    </w:p>
    <w:p>
      <w:pPr>
        <w:numPr>
          <w:ilvl w:val="0"/>
          <w:numId w:val="1005"/>
        </w:numPr>
        <w:pStyle w:val="Compact"/>
      </w:pPr>
      <w:r>
        <w:t xml:space="preserve">Daniel F. Hinkel. op. Cit. P.288.</w:t>
      </w:r>
    </w:p>
    <w:p>
      <w:pPr>
        <w:numPr>
          <w:ilvl w:val="0"/>
          <w:numId w:val="1005"/>
        </w:numPr>
        <w:pStyle w:val="Compact"/>
      </w:pPr>
      <w:r>
        <w:t xml:space="preserve">Diane Chappelle. Land Law. Eighth Edition. Pearson Education Limited Longman. 2008. P.362.</w:t>
      </w:r>
    </w:p>
    <w:p>
      <w:pPr>
        <w:numPr>
          <w:ilvl w:val="0"/>
          <w:numId w:val="1005"/>
        </w:numPr>
        <w:pStyle w:val="Compact"/>
      </w:pPr>
      <w:r>
        <w:t xml:space="preserve">Louise Tee. Land Law. Issues Debates Policy.Routledge Taylor &amp; Francis Group. London. 2014. P.173.</w:t>
      </w:r>
    </w:p>
    <w:p>
      <w:pPr>
        <w:numPr>
          <w:ilvl w:val="0"/>
          <w:numId w:val="1005"/>
        </w:numPr>
        <w:pStyle w:val="Compact"/>
      </w:pPr>
      <w:r>
        <w:t xml:space="preserve">Martin Dixon. Modern Land Law. seventh Edition. Routledge Taylor &amp; Francis Group. London and New York. 2010 P.422.</w:t>
      </w:r>
    </w:p>
    <w:p>
      <w:pPr>
        <w:numPr>
          <w:ilvl w:val="0"/>
          <w:numId w:val="1005"/>
        </w:numPr>
        <w:pStyle w:val="Compact"/>
      </w:pPr>
      <w:r>
        <w:t xml:space="preserve">Kevin Gray &amp; Susan Francis Gray. op. Cit. P.316.</w:t>
      </w:r>
    </w:p>
    <w:p>
      <w:pPr>
        <w:numPr>
          <w:ilvl w:val="0"/>
          <w:numId w:val="1005"/>
        </w:numPr>
        <w:pStyle w:val="Compact"/>
      </w:pPr>
      <w:r>
        <w:t xml:space="preserve">John Duddington. Land Law. Third Edition. Longman “Pearson Education Limited. London. 2011. P.180.</w:t>
      </w:r>
    </w:p>
    <w:p>
      <w:r>
        <w:pict>
          <v:rect style="width:0;height:1.5pt" o:hralign="center" o:hrstd="t" o:hr="t"/>
        </w:pict>
      </w:r>
    </w:p>
    <w:p>
      <w:pPr>
        <w:pStyle w:val="FirstParagraph"/>
      </w:pPr>
      <w:r>
        <w:t xml:space="preserve">417</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11</w:t>
      </w:r>
    </w:p>
    <w:p>
      <w:r>
        <w:pict>
          <v:rect style="width:0;height:1.5pt" o:hralign="center" o:hrstd="t" o:hr="t"/>
        </w:pict>
      </w:r>
    </w:p>
    <w:p>
      <w:pPr>
        <w:pStyle w:val="FirstParagraph"/>
      </w:pPr>
      <w:r>
        <w:t xml:space="preserve">Journal Sharia and Law, Vol. 2022, No. 91 [2022], Art. 7</w:t>
      </w:r>
    </w:p>
    <w:bookmarkEnd w:id="51"/>
    <w:bookmarkEnd w:id="52"/>
    <w:bookmarkEnd w:id="53"/>
    <w:bookmarkStart w:id="61" w:name="X45c2fdb3c83090542c6d7d126d6e614aa457b0e"/>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التقديرية للمحكمة الإنجليزية.</w:t>
      </w:r>
    </w:p>
    <w:bookmarkStart w:id="54" w:name="ثالثا"/>
    <w:p>
      <w:pPr>
        <w:pStyle w:val="Heading2"/>
      </w:pPr>
      <w:r>
        <w:t xml:space="preserve">ثالثاً:</w:t>
      </w:r>
    </w:p>
    <w:p>
      <w:pPr>
        <w:pStyle w:val="FirstParagraph"/>
      </w:pPr>
      <w:r>
        <w:t xml:space="preserve">كما يعد نظام غلق الرهن في القانون الإنجليزي نظاماً إنصافياً (Equitable Order)</w:t>
      </w:r>
      <w:r>
        <w:t xml:space="preserve"> </w:t>
      </w:r>
      <w:r>
        <w:t xml:space="preserve">فرضته قواعد العدالة والإنصاف التي تفرض ما يمليه الضمير الحي ومبادىء العدل الطبيعي</w:t>
      </w:r>
      <w:r>
        <w:t xml:space="preserve"> </w:t>
      </w:r>
      <w:r>
        <w:t xml:space="preserve">على النزاعات (۲۸)، والتي يتم اللجوء اليها لسد الثغرات في قانون الأحكام العام (Common</w:t>
      </w:r>
      <w:r>
        <w:t xml:space="preserve"> </w:t>
      </w:r>
      <w:r>
        <w:t xml:space="preserve">Law) العرفي والمبني على السوابق القضائية(۲۹)، وذلك لغرض القضاء على حق فك الرهن</w:t>
      </w:r>
      <w:r>
        <w:t xml:space="preserve"> </w:t>
      </w:r>
      <w:r>
        <w:t xml:space="preserve">الإنصافي الذي يتمتع به المدين الراهن، إذا ماطل أو تقاعس عن الوفاء بالدين الموثق</w:t>
      </w:r>
      <w:r>
        <w:t xml:space="preserve"> </w:t>
      </w:r>
      <w:r>
        <w:t xml:space="preserve">بالرهن(٣٠). فبمجرد حلول موعد استحقاق الدين المضمون بالرهن وعدم وفاء المدين</w:t>
      </w:r>
      <w:r>
        <w:t xml:space="preserve"> </w:t>
      </w:r>
      <w:r>
        <w:t xml:space="preserve">الراهن، ينقضي حقه في الفك الإنصافي للرهن على الرغم من أن المحكمة لا تفرضه، وفقاً</w:t>
      </w:r>
      <w:r>
        <w:t xml:space="preserve"> </w:t>
      </w:r>
      <w:r>
        <w:t xml:space="preserve">لسلطتها التقديرية الواسعة، إلا إذا أخفق المدين الراهن المقترض إخفاقاً تاماً في الوفاء بالدين،</w:t>
      </w:r>
      <w:r>
        <w:t xml:space="preserve"> </w:t>
      </w:r>
      <w:r>
        <w:t xml:space="preserve">لأن الحق الإنصافي في فك الرهن (The Equity of Redemption) هو من الحقوق الأساسية</w:t>
      </w:r>
      <w:r>
        <w:t xml:space="preserve"> </w:t>
      </w:r>
      <w:r>
        <w:t xml:space="preserve">التي يتمتع بها المدين الراهن (۳۱). وجدير بالذكر أن القانون الانجليزي يفرض الرقابة</w:t>
      </w:r>
      <w:r>
        <w:t xml:space="preserve"> </w:t>
      </w:r>
      <w:r>
        <w:t xml:space="preserve">الإنصافية على بنود الرهن (Equitable Control of Mortgage Terms) بطريقتين (۳۲): الأولى</w:t>
      </w:r>
      <w:r>
        <w:t xml:space="preserve"> </w:t>
      </w:r>
      <w:r>
        <w:t xml:space="preserve">هي الرقابة على الموانع والقيود المفروضة على حق فك الرهن لتتمكن المحاكم من إبطال ما</w:t>
      </w:r>
      <w:r>
        <w:t xml:space="preserve"> </w:t>
      </w:r>
      <w:r>
        <w:t xml:space="preserve">تراه استغلالاً للمدين الراهن من هذه الموانع والقيود، والثانية الحماية الإنصافية من بنود الرهن</w:t>
      </w:r>
      <w:r>
        <w:t xml:space="preserve"> </w:t>
      </w:r>
      <w:r>
        <w:t xml:space="preserve">الظالمة والمنافية للضمير الحي (Oppressive and Unconscionable Mortgage Terms).</w:t>
      </w:r>
      <w:r>
        <w:t xml:space="preserve"> </w:t>
      </w:r>
      <w:r>
        <w:t xml:space="preserve">وبذلك يختلف موقف القانون الإنجليزي عن موقف القوانين المقارنة الثلاثة العراقي</w:t>
      </w:r>
      <w:r>
        <w:t xml:space="preserve"> </w:t>
      </w:r>
      <w:r>
        <w:t xml:space="preserve">والإماراتي والمصري التي حظرت وأبطلت غلق الرهن لمخالفته للنظام العام، في الوقت الذي</w:t>
      </w:r>
    </w:p>
    <w:p>
      <w:pPr>
        <w:numPr>
          <w:ilvl w:val="0"/>
          <w:numId w:val="1006"/>
        </w:numPr>
        <w:pStyle w:val="Compact"/>
      </w:pPr>
      <w:r>
        <w:t xml:space="preserve">د. حسان عبد الغني الخطيب. القانون العام. منشورات زين الحقوقية بيروت، لبنان. ٢٠١٢. ص٢١٦.</w:t>
      </w:r>
    </w:p>
    <w:p>
      <w:pPr>
        <w:numPr>
          <w:ilvl w:val="0"/>
          <w:numId w:val="1006"/>
        </w:numPr>
        <w:pStyle w:val="Compact"/>
      </w:pPr>
      <w:r>
        <w:t xml:space="preserve">د. عبد السلام الترمانيني. القانون المقارن المناهج القانونية الكبرى المعاصرة. مطبوعات جامعة الكويت. الطبعة</w:t>
      </w:r>
      <w:r>
        <w:t xml:space="preserve"> </w:t>
      </w:r>
      <w:r>
        <w:t xml:space="preserve">الثانية. ۱۹٨٢. ص۱۷۷ و ٢٠٣ و ٢٠٤ و ٢٠٨.</w:t>
      </w:r>
    </w:p>
    <w:p>
      <w:pPr>
        <w:numPr>
          <w:ilvl w:val="0"/>
          <w:numId w:val="1006"/>
        </w:numPr>
        <w:pStyle w:val="Compact"/>
      </w:pPr>
      <w:r>
        <w:t xml:space="preserve">Kate Green. Land Law. Third Edition. MACMILLAN LAW MASTERS. 1997. P.88.</w:t>
      </w:r>
    </w:p>
    <w:p>
      <w:pPr>
        <w:numPr>
          <w:ilvl w:val="0"/>
          <w:numId w:val="1006"/>
        </w:numPr>
        <w:pStyle w:val="Compact"/>
      </w:pPr>
      <w:r>
        <w:t xml:space="preserve">Alison Clarke ،Paul Kohler. Property law commentary and Materials. First Edition.</w:t>
      </w:r>
      <w:r>
        <w:t xml:space="preserve"> </w:t>
      </w:r>
      <w:r>
        <w:t xml:space="preserve">Cambridge University Press. 2005. P.666.</w:t>
      </w:r>
    </w:p>
    <w:p>
      <w:pPr>
        <w:numPr>
          <w:ilvl w:val="0"/>
          <w:numId w:val="1006"/>
        </w:numPr>
        <w:pStyle w:val="Compact"/>
      </w:pPr>
      <w:r>
        <w:t xml:space="preserve">Ben McFarlane ،Nicholas Hopkins and Sarah Nield. Land Law Text cases and</w:t>
      </w:r>
      <w:r>
        <w:t xml:space="preserve"> </w:t>
      </w:r>
      <w:r>
        <w:t xml:space="preserve">Materials. Oxford University Press. Second Edition. 2012. P.1108.</w:t>
      </w:r>
    </w:p>
    <w:p>
      <w:pPr>
        <w:pStyle w:val="FirstParagraph"/>
      </w:pPr>
      <w:r>
        <w:t xml:space="preserve">[السنة السادسة والثلاثون - مجلة جامعة الإمارات] 418</w:t>
      </w:r>
    </w:p>
    <w:p>
      <w:pPr>
        <w:pStyle w:val="BodyText"/>
      </w:pPr>
      <w:r>
        <w:t xml:space="preserve">https://scholarworks.uaeu.ac.ae/sharia_and_law/vol2022/iss91/7</w:t>
      </w:r>
    </w:p>
    <w:p>
      <w:pPr>
        <w:pStyle w:val="BodyText"/>
      </w:pPr>
      <w:r>
        <w:t xml:space="preserve">12</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استمد فيه القانون الإنجليزي غلق الرهن من قواعد العدالة والإنصاف التي تفرض ما يمليه الضمير الحي.</w:t>
      </w:r>
    </w:p>
    <w:p>
      <w:pPr>
        <w:pStyle w:val="BodyText"/>
      </w:pPr>
      <w:r>
        <w:t xml:space="preserve">رابعاً: 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w:t>
      </w:r>
    </w:p>
    <w:p>
      <w:pPr>
        <w:pStyle w:val="BodyText"/>
      </w:pPr>
      <w:r>
        <w:t xml:space="preserve">خامساً: 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p>
      <w:pPr>
        <w:pStyle w:val="BodyText"/>
      </w:pPr>
      <w:r>
        <w:t xml:space="preserve">سادساً: 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r>
        <w:pict>
          <v:rect style="width:0;height:1.5pt" o:hralign="center" o:hrstd="t" o:hr="t"/>
        </w:pict>
      </w:r>
    </w:p>
    <w:p>
      <w:pPr>
        <w:numPr>
          <w:ilvl w:val="0"/>
          <w:numId w:val="1007"/>
        </w:numPr>
        <w:pStyle w:val="Compact"/>
      </w:pPr>
      <w:r>
        <w:t xml:space="preserve">Peter Sparkes. A New Land Law. Second Edition. Hart Publishing. Portland ،Oregon. 2003. P.646.</w:t>
      </w:r>
    </w:p>
    <w:p>
      <w:pPr>
        <w:numPr>
          <w:ilvl w:val="0"/>
          <w:numId w:val="1007"/>
        </w:numPr>
        <w:pStyle w:val="Compact"/>
      </w:pPr>
      <w:r>
        <w:t xml:space="preserve">E. H Burn and J. Cartwright. Cheshire and Burn's Modern law of Real Property. Eighteenth Edition. Oxford University Press. 2011.P.864.</w:t>
      </w:r>
    </w:p>
    <w:p>
      <w:pPr>
        <w:numPr>
          <w:ilvl w:val="0"/>
          <w:numId w:val="1007"/>
        </w:numPr>
        <w:pStyle w:val="Compact"/>
      </w:pPr>
      <w:r>
        <w:t xml:space="preserve">Elizabeth Cooke. The New Law of Land Registration. Hart Publishing. 2003. P.34.</w:t>
      </w:r>
    </w:p>
    <w:p>
      <w:pPr>
        <w:numPr>
          <w:ilvl w:val="0"/>
          <w:numId w:val="1007"/>
        </w:numPr>
        <w:pStyle w:val="Compact"/>
      </w:pPr>
      <w:r>
        <w:t xml:space="preserve">Kevin Gray &amp; Susan Francis Gray. op. Cit. P.316.</w:t>
      </w:r>
    </w:p>
    <w:p>
      <w:pPr>
        <w:pStyle w:val="FirstParagraph"/>
      </w:pPr>
      <w:r>
        <w:t xml:space="preserve">419</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13</w:t>
      </w:r>
    </w:p>
    <w:p>
      <w:r>
        <w:pict>
          <v:rect style="width:0;height:1.5pt" o:hralign="center" o:hrstd="t" o:hr="t"/>
        </w:pict>
      </w:r>
    </w:p>
    <w:p>
      <w:pPr>
        <w:pStyle w:val="FirstParagraph"/>
      </w:pPr>
      <w:r>
        <w:t xml:space="preserve">Journal Sharia and Law, Vol. 2022, No. 91 [2022], Art. 7</w:t>
      </w:r>
    </w:p>
    <w:bookmarkEnd w:id="54"/>
    <w:bookmarkStart w:id="57" w:name="X0ce96358fbe4018a4e88d7357003e42c16ddeba"/>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في بادىء الأمر محاكم الإنصاف (Courts of Equity)(۳). فالأصل العام هو عدم إمكانية انتهاك هذا الحق. وعلى الرغم من انقضاء الحق التعاقدي في فك الرهن (Lapse of the Contractual Right to Redeem)، فإنه يحظر على الدائن المرتهن اكتساب الملكية القانونية (Legal Fee Simple) للعقار المرهون، من دون التقدم بطلب إلى المحكمة. فإذا أصدرت المحكمة حكمها بإغلاق الرهن إنقضى حق المدين الراهن في فك الرهن (۳۸). كما لا يمكن للدائن المرتهن إثارة إية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 (Chancery Division)،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bookmarkStart w:id="55" w:name="X854c188de1e54aa5f968888ac6c8f05bb5dbd3f"/>
    <w:p>
      <w:pPr>
        <w:pStyle w:val="Heading3"/>
      </w:pPr>
      <w:r>
        <w:t xml:space="preserve">سابعاً : يصنف غلق الرهن في القانون الانجليزي إلى نوعين:</w:t>
      </w:r>
    </w:p>
    <w:p>
      <w:pPr>
        <w:pStyle w:val="FirstParagraph"/>
      </w:pPr>
      <w:r>
        <w:t xml:space="preserve">الأول غلق الرهن القضائي (Judicial Foreclosure) 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 (Debt Secured by Real Property). ويطلب تمليكه ذلك العقار (٤٠). والثاني</w:t>
      </w:r>
    </w:p>
    <w:p>
      <w:pPr>
        <w:pStyle w:val="BodyText"/>
      </w:pPr>
      <w:r>
        <w:t xml:space="preserve">420 السنة السادسة والثلاثون - مجلة جامعة الإمارات ]</w:t>
      </w:r>
    </w:p>
    <w:p>
      <w:r>
        <w:pict>
          <v:rect style="width:0;height:1.5pt" o:hralign="center" o:hrstd="t" o:hr="t"/>
        </w:pict>
      </w:r>
    </w:p>
    <w:p>
      <w:pPr>
        <w:pStyle w:val="FirstParagraph"/>
      </w:pPr>
      <w:r>
        <w:t xml:space="preserve">(37) Samantha Hepburn. Principles of Property Law. Second Edition. Cavendish Publishing. London. 2001. P.361.</w:t>
      </w:r>
    </w:p>
    <w:p>
      <w:pPr>
        <w:pStyle w:val="BodyText"/>
      </w:pPr>
      <w:r>
        <w:t xml:space="preserve">(۳۸) أدموند س ملكا. شرح القانون الإنجليزي في ثمانية أجزاء. الطبعة الأولى. مطبعة مصر شركة مساهمة مصرية. ١٩٥٤. ص ٥١٠.</w:t>
      </w:r>
    </w:p>
    <w:p>
      <w:pPr>
        <w:pStyle w:val="BodyText"/>
      </w:pPr>
      <w:r>
        <w:t xml:space="preserve">(39) E. H Burn and J. Cartwright. ibid.P.862.</w:t>
      </w:r>
    </w:p>
    <w:p>
      <w:pPr>
        <w:pStyle w:val="BodyText"/>
      </w:pPr>
      <w:r>
        <w:t xml:space="preserve">(40) Daniel F. Hinkel. Practical Real Estate Law. Fifth Edition. West Legal Studies. New York. 2008. P.289.</w:t>
      </w:r>
    </w:p>
    <w:p>
      <w:pPr>
        <w:pStyle w:val="BodyText"/>
      </w:pPr>
      <w:r>
        <w:t xml:space="preserve">https://scholarworks.uaeu.ac.ae/sharia_and_law/vol2022/iss91/7</w:t>
      </w:r>
    </w:p>
    <w:p>
      <w:pPr>
        <w:pStyle w:val="BodyText"/>
      </w:pPr>
      <w:r>
        <w:t xml:space="preserve">14</w:t>
      </w:r>
    </w:p>
    <w:p>
      <w:r>
        <w:pict>
          <v:rect style="width:0;height:1.5pt" o:hralign="center" o:hrstd="t" o:hr="t"/>
        </w:pict>
      </w:r>
    </w:p>
    <w:p>
      <w:pPr>
        <w:pStyle w:val="FirstParagraph"/>
      </w:pPr>
      <w:r>
        <w:t xml:space="preserve">Ali: ??? ????? ?? ??????? ????????? ????? ??????? ?????? ?????? ???????? ???????? ??????? د.يونس صلاح الدين علي]</w:t>
      </w:r>
    </w:p>
    <w:p>
      <w:pPr>
        <w:pStyle w:val="BodyText"/>
      </w:pPr>
      <w: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 (Judicial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w:t>
      </w:r>
    </w:p>
    <w:p>
      <w:pPr>
        <w:pStyle w:val="BodyText"/>
      </w:pPr>
      <w:r>
        <w:t xml:space="preserve">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bookmarkEnd w:id="55"/>
    <w:bookmarkStart w:id="56" w:name="ثامنا"/>
    <w:p>
      <w:pPr>
        <w:pStyle w:val="Heading3"/>
      </w:pPr>
      <w:r>
        <w:t xml:space="preserve">ثامناً:</w:t>
      </w:r>
    </w:p>
    <w:p>
      <w:pPr>
        <w:pStyle w:val="FirstParagraph"/>
      </w:pPr>
      <w:r>
        <w:t xml:space="preserve">يتسم غلق الرهن في القانونين المدنيين العراقي والمصري وقانون المعاملات المدنية الاتحادي الإماراتي بأنه شرط تقييدي من الشروط المقترنة بالعقد(٤٣)،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pStyle w:val="BodyText"/>
      </w:pPr>
      <w:r>
        <w:t xml:space="preserve">(41) Daniel F. Hinkel. ibid. P.289.</w:t>
      </w:r>
    </w:p>
    <w:p>
      <w:pPr>
        <w:pStyle w:val="BodyText"/>
      </w:pPr>
      <w:r>
        <w:t xml:space="preserve">(42) Alastair Hudson. Equity and Trusts. Sixth Edition. Routledge. Cavendish. Taylor &amp; Francis Group. London and New York. 2010. P.624.</w:t>
      </w:r>
    </w:p>
    <w:p>
      <w:pPr>
        <w:pStyle w:val="BodyText"/>
      </w:pPr>
      <w:r>
        <w:t xml:space="preserve">(٤٣) د. منصور حاتم محسن الفتلاوي وزينب حسين يوسف الغرابي. مصدر سابق. ص۳۰.</w:t>
      </w:r>
    </w:p>
    <w:p>
      <w:pPr>
        <w:pStyle w:val="BodyText"/>
      </w:pPr>
      <w:r>
        <w:t xml:space="preserve">421</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15</w:t>
      </w:r>
    </w:p>
    <w:p>
      <w:r>
        <w:pict>
          <v:rect style="width:0;height:1.5pt" o:hralign="center" o:hrstd="t" o:hr="t"/>
        </w:pict>
      </w:r>
    </w:p>
    <w:p>
      <w:pPr>
        <w:pStyle w:val="FirstParagraph"/>
      </w:pPr>
      <w:r>
        <w:t xml:space="preserve">Journal Sharia and Law, Vol. 2022, No. 91 [2022], Art. 7</w:t>
      </w:r>
    </w:p>
    <w:bookmarkEnd w:id="56"/>
    <w:bookmarkEnd w:id="57"/>
    <w:bookmarkStart w:id="58" w:name="Xe98177c5ffcba0dde575cb7e4bfe0fd5e3e5269"/>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الدائنين العاديين والمرتهنين التالين له في استيفاء حقه (٤٤) . من دون أن تكون له أية سلطة مباشرة على العقار المرهون، لاحتفاظ المدين بجميع عناصر الملكية أثناء سريان الرهن(٤٥). فالشرط الذي يقترن به العقد إما أن يكون من مقتضاه ولا ينافي الغرض منه فهو شرط صحيح. كاشتراط الراهن والمرتهن أن يكون الرهن في يد عدل يرتضيانه (٤٦) ، أو أن يكون منافياً لمقتضى الرهن، كاشتراط أن يكون الرهن ملكاً للمرتهن عند حلول الأجل وعدم الوفاء، فيصح العقد ويلغى الشرط، مالم يكن الشرط هو الدافع إلى التعاقد فيبطل العقد أيضاً.</w:t>
      </w:r>
    </w:p>
    <w:p>
      <w:pPr>
        <w:pStyle w:val="BodyText"/>
      </w:pPr>
      <w:r>
        <w:t xml:space="preserve">تاسعاً: ويتسم غلق الرهن في القوانين العراقي والإماراتي والمصري ببطلانه وعدم ترتيبه لأي أثر قانوني، جرياً على عادة الفقه الإسلامي وتأثراً به. وبسبب مخالفته للنظام العام، ولحماية المدين الراهن من جشع واستغلال الدائن المرتهن(٤٧).</w:t>
      </w:r>
    </w:p>
    <w:p>
      <w:pPr>
        <w:pStyle w:val="BodyText"/>
      </w:pPr>
      <w:r>
        <w:t xml:space="preserve">عاشراً: إلا أن شرط غلق الرهن يتسم بصحته ونفاذه في القانون المدني المصري إذا تم الاتفاق على نزول المدين لدائنه عن العقار المرهون وفاء لدينه بعد حلول الدين أو قسط منه، استثناءً من القاعدة العامة المبطلة لغلق الرهن.</w:t>
      </w:r>
    </w:p>
    <w:p>
      <w:pPr>
        <w:pStyle w:val="BodyText"/>
      </w:pPr>
      <w:r>
        <w:t xml:space="preserve">أحد عشر : ويتسم غلق الرهن في القوانين العراقي والإماراتي والمصري من حيث وقت الاتفاق عليه، بأنه يتخذ ثلاث صور (٤٨) هي : الأولى شرط تملك المال المرهون عند عدم الوفاء،</w:t>
      </w:r>
    </w:p>
    <w:p>
      <w:r>
        <w:pict>
          <v:rect style="width:0;height:1.5pt" o:hralign="center" o:hrstd="t" o:hr="t"/>
        </w:pict>
      </w:r>
    </w:p>
    <w:p>
      <w:pPr>
        <w:pStyle w:val="FirstParagraph"/>
      </w:pPr>
      <w:r>
        <w:t xml:space="preserve">(٤٤ ) د.درع حماد عبد. الحقوق العينية الأصلية. حق الملكية والحقوق المتفرعة عنها. دار السنهوري. بيروت لبنان. ٢٠١٨. ص ١٧ . ينظر أيضاً د. طارق كاظم عجيل. الحقوق العينية الأصلية. الجزء الأول. حق الملكية. دار السنهوري. بيروت لبنان. ٢٠١٩. ص١٧.</w:t>
      </w:r>
    </w:p>
    <w:p>
      <w:pPr>
        <w:pStyle w:val="BodyText"/>
      </w:pPr>
      <w:r>
        <w:t xml:space="preserve">(٤٥) د.جورج شدراوي. حق الملكية العقارية مع ملحق عن حق التصرف حق الانتفاع. الطبعة الثانية. شركة المؤسسة الحديثة للكتاب لبنان. ٢٠١٧. ص٨.</w:t>
      </w:r>
    </w:p>
    <w:p>
      <w:pPr>
        <w:pStyle w:val="BodyText"/>
      </w:pPr>
      <w:r>
        <w:t xml:space="preserve">(٤٦) د. الشافعي عبد الرحمن السيد عوض. عقد الرهن في الشريعة الإسلامية دراسة مقارنة. مكتبة الوفاء الإسكندرية. ٢٠١١. ص ١٤٧.</w:t>
      </w:r>
    </w:p>
    <w:p>
      <w:pPr>
        <w:pStyle w:val="BodyText"/>
      </w:pPr>
      <w:r>
        <w:t xml:space="preserve">(٤٧) محمد طه البشير ود. غني حسون طه. الحقوق العينية . ج ٢ . مصدر سابق. ص ٤٣٠ .</w:t>
      </w:r>
    </w:p>
    <w:p>
      <w:pPr>
        <w:pStyle w:val="BodyText"/>
      </w:pPr>
      <w:r>
        <w:t xml:space="preserve">(٤٨) د. منصور حاتم محسن وزينب حسين يوسف. النظام القانوني للاتفاق على تملك المرتهن المرهون عند عدم الوفاء =</w:t>
      </w:r>
    </w:p>
    <w:p>
      <w:pPr>
        <w:pStyle w:val="BodyText"/>
      </w:pPr>
      <w:r>
        <w:t xml:space="preserve">422 السنة السادسة والثلاثون - مجلة جامعة الإمارات ]</w:t>
      </w:r>
    </w:p>
    <w:p>
      <w:pPr>
        <w:pStyle w:val="BodyText"/>
      </w:pPr>
      <w:r>
        <w:t xml:space="preserve">https://scholarworks.uaeu.ac.ae/sharia_and_law/vol2022/iss91/7</w:t>
      </w:r>
    </w:p>
    <w:p>
      <w:pPr>
        <w:pStyle w:val="BodyText"/>
      </w:pPr>
      <w:r>
        <w:t xml:space="preserve">16</w:t>
      </w:r>
    </w:p>
    <w:p>
      <w:r>
        <w:pict>
          <v:rect style="width:0;height:1.5pt" o:hralign="center" o:hrstd="t" o:hr="t"/>
        </w:pict>
      </w:r>
    </w:p>
    <w:p>
      <w:pPr>
        <w:pStyle w:val="FirstParagraph"/>
      </w:pPr>
      <w:r>
        <w:t xml:space="preserve">Ali: ??? ????? ?? ??????? ????????? ????? ??????? ?????? ?????? ???????? ???????? ???????</w:t>
      </w:r>
      <w:r>
        <w:br/>
      </w:r>
      <w:r>
        <w:t xml:space="preserve">د.يونس صلاح الدين علي]</w:t>
      </w:r>
    </w:p>
    <w:p>
      <w:pPr>
        <w:pStyle w:val="BodyText"/>
      </w:pPr>
      <w:r>
        <w:t xml:space="preserve">أو شرط الطريق الممهد المدرج في عقد الرهن وقت إبرامه، والثانية شرط تملك المال المرهون</w:t>
      </w:r>
      <w:r>
        <w:t xml:space="preserve"> </w:t>
      </w:r>
      <w:r>
        <w:t xml:space="preserve">عند عدم الوفاء، أو شرط الطريق الممهد المدرج في اتفاق لاحق بعد انعقاد عقد الرهن وقبل</w:t>
      </w:r>
      <w:r>
        <w:t xml:space="preserve"> </w:t>
      </w:r>
      <w:r>
        <w:t xml:space="preserve">حلول أجل الدين المضمون بالرهن. والثالثة شرط تملك المال المرهون عند عدم الوفاء، أو</w:t>
      </w:r>
      <w:r>
        <w:t xml:space="preserve"> </w:t>
      </w:r>
      <w:r>
        <w:t xml:space="preserve">شرط الطريق الممهد المدرج في اتفاق لاحق على انعقاد عقد الرهن، وبعد حلول أجل الدين</w:t>
      </w:r>
      <w:r>
        <w:t xml:space="preserve"> </w:t>
      </w:r>
      <w:r>
        <w:t xml:space="preserve">الموثق بالرهن(٤٩). وقد نص القانون المدني المصري على هذه الصورة الأخيرة أيضاً في الفقرة</w:t>
      </w:r>
      <w:r>
        <w:t xml:space="preserve"> </w:t>
      </w:r>
      <w:r>
        <w:t xml:space="preserve">الأولى من المادة (١٠٥٢) منه. وعلى الرغم من أن المادة (۱۳۰۱) من القانون المدني العراقي لم</w:t>
      </w:r>
      <w:r>
        <w:t xml:space="preserve"> </w:t>
      </w:r>
      <w:r>
        <w:t xml:space="preserve">تنص على الحالة الثالثة صراحة، إلا أنه يمكن استنتاجها من الشرط الأخير من هذه المادة الذي</w:t>
      </w:r>
      <w:r>
        <w:t xml:space="preserve"> </w:t>
      </w:r>
      <w:r>
        <w:t xml:space="preserve">جاء مطلقاً، وذكر عبارة (حتى لو كان هذا الاتفاق قد أُبرم بعد الرهن). ولم يميز بين الاتفاق</w:t>
      </w:r>
      <w:r>
        <w:t xml:space="preserve"> </w:t>
      </w:r>
      <w:r>
        <w:t xml:space="preserve">اللاحق بعد انعقاد عقد الرهن وقبل حلول أجل الدين، وبين الاتفاق اللاحق على انعقاد عقد</w:t>
      </w:r>
      <w:r>
        <w:t xml:space="preserve"> </w:t>
      </w:r>
      <w:r>
        <w:t xml:space="preserve">الرهن، وبعد حلول أجل الدين الموثق بالرهن. ويمكننا القول بأن الشيء نفسه ينطبق على</w:t>
      </w:r>
      <w:r>
        <w:t xml:space="preserve"> </w:t>
      </w:r>
      <w:r>
        <w:t xml:space="preserve">قانون المعاملات المدنية الاتحادي الإماراتي رقم (٥) لسنة ١٩٨٥، فقد نصت الفقرة الثانية من</w:t>
      </w:r>
      <w:r>
        <w:t xml:space="preserve"> </w:t>
      </w:r>
      <w:r>
        <w:t xml:space="preserve">المادة (١٤٢٠) منه على أنه ( ويبطل الشرط كذلك ولو تم باتفاق لاحق). فيبطل شرط تملك</w:t>
      </w:r>
      <w:r>
        <w:t xml:space="preserve"> </w:t>
      </w:r>
      <w:r>
        <w:t xml:space="preserve">المال المرهون عند عدم الوفاء بالدين المضمون بالرهن، ولو أدرج باتفاق لاحق على عقد الرهن</w:t>
      </w:r>
      <w:r>
        <w:t xml:space="preserve"> </w:t>
      </w:r>
      <w:r>
        <w:t xml:space="preserve">نفسه(٥٠) . وعلى هذا الأساس فإنه يمكن لهذا الشرط أن يتخذ في القانون الإماراتي أيضاً نفس</w:t>
      </w:r>
      <w:r>
        <w:t xml:space="preserve"> </w:t>
      </w:r>
      <w:r>
        <w:t xml:space="preserve">الصور الثلاث السالفة الذكر.</w:t>
      </w:r>
    </w:p>
    <w:bookmarkEnd w:id="58"/>
    <w:bookmarkStart w:id="60" w:name="المطلب-الثالث"/>
    <w:p>
      <w:pPr>
        <w:pStyle w:val="Heading2"/>
      </w:pPr>
      <w:r>
        <w:t xml:space="preserve">المطلب الثالث</w:t>
      </w:r>
    </w:p>
    <w:bookmarkStart w:id="59" w:name="X2560b77bc146fcadea06587cf994fdfff1baa9a"/>
    <w:p>
      <w:pPr>
        <w:pStyle w:val="Heading3"/>
      </w:pPr>
      <w:r>
        <w:t xml:space="preserve">مقارنة شرط تملك المال المرهون بشرط الطريق الممهد</w:t>
      </w:r>
    </w:p>
    <w:p>
      <w:pPr>
        <w:pStyle w:val="FirstParagraph"/>
      </w:pPr>
      <w:r>
        <w:t xml:space="preserve">كنا قد أشرنا سابقاً أن المواد (۱۳۰۱) من القانون المدني العراقي، و(١٤٢٠) من قانون</w:t>
      </w:r>
    </w:p>
    <w:p>
      <w:pPr>
        <w:pStyle w:val="BodyText"/>
      </w:pPr>
      <w:r>
        <w:t xml:space="preserve">=دراسة مقارنة. بحث منشور في مجلة المحقق الحلي للعلوم القانونية والسياسية. مجلة علمية فصلية محكمة تصدر عن</w:t>
      </w:r>
      <w:r>
        <w:t xml:space="preserve"> </w:t>
      </w:r>
      <w:r>
        <w:t xml:space="preserve">كلية القانون بجامعة بابل. السنة التاسعة. العدد الثاني. ۲۰۱۷ . ص ۱۰۹.</w:t>
      </w:r>
    </w:p>
    <w:p>
      <w:pPr>
        <w:pStyle w:val="BodyText"/>
      </w:pPr>
      <w:r>
        <w:t xml:space="preserve">(٤٩) د.عصمت عبد المجيد بكر . الوجيز في العقود المدنية المسماة الرهن. مصدر سابق. ص۲۳۳.</w:t>
      </w:r>
    </w:p>
    <w:p>
      <w:pPr>
        <w:pStyle w:val="BodyText"/>
      </w:pPr>
      <w:r>
        <w:t xml:space="preserve">(٥٠) د. وهبة الزحيلي. مصدر سابق. ص ٣٥٣.</w:t>
      </w:r>
    </w:p>
    <w:p>
      <w:pPr>
        <w:pStyle w:val="BodyText"/>
      </w:pPr>
      <w:r>
        <w:t xml:space="preserve">423</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17</w:t>
      </w:r>
    </w:p>
    <w:p>
      <w:r>
        <w:pict>
          <v:rect style="width:0;height:1.5pt" o:hralign="center" o:hrstd="t" o:hr="t"/>
        </w:pict>
      </w:r>
    </w:p>
    <w:p>
      <w:pPr>
        <w:pStyle w:val="FirstParagraph"/>
      </w:pPr>
      <w:r>
        <w:t xml:space="preserve">Journal Sharia and Law, Vol. 2022, No. 91 [2022], Art. 7</w:t>
      </w:r>
    </w:p>
    <w:bookmarkEnd w:id="59"/>
    <w:bookmarkEnd w:id="60"/>
    <w:bookmarkEnd w:id="61"/>
    <w:bookmarkStart w:id="66" w:name="X30dc76a65a07dc25b5900d7762180b93cc2e27b"/>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المعاملات المدنية الاتحادي الإماراتي، والفقرة الأولى من المادة (١٠٥٢) من القانون المدني المصري تضمنت شرطين يمثلان غلق الرهن هما : شرط الاتفاق على تملك الدائن المرتهن للمال المرهون عند عدم الوفاء، وشرط الطريق الممهد، أو ما يعرف بشرط الاتفاق على بيع العقار المرهون دون المرور بالإجراءات القانونية. وعلى الرغم من وجود أوجه للشبه بين شرط تملك المال المرهون عند عدم الوفاء وشرط الطريق الممهد في بعض المسائل، إلا أن هناك أوجها للاختلاف بينهما في مسائل أخرى، وسوف نبحث في أوجه الشبه أولاً ثم في أوجه الاختلاف وعلى النحو الآتي:</w:t>
      </w:r>
    </w:p>
    <w:bookmarkStart w:id="63" w:name="الفرع-الأول"/>
    <w:p>
      <w:pPr>
        <w:pStyle w:val="Heading2"/>
      </w:pPr>
      <w:r>
        <w:t xml:space="preserve">الفرع الأول</w:t>
      </w:r>
    </w:p>
    <w:bookmarkStart w:id="62" w:name="X23cc3a6c99c8d886d2845e4d3ae2262a8321b75"/>
    <w:p>
      <w:pPr>
        <w:pStyle w:val="Heading3"/>
      </w:pPr>
      <w:r>
        <w:t xml:space="preserve">أوجه الشبه بين شرط تملك المال المرهون وشرط الطريق الممهد</w:t>
      </w:r>
    </w:p>
    <w:p>
      <w:pPr>
        <w:pStyle w:val="FirstParagraph"/>
      </w:pPr>
      <w:r>
        <w:t xml:space="preserve">يتشابه شرط تملك المال المرهون عند عدم الوفاء مع شرط الطريق الممهد في المسائل الآتية:</w:t>
      </w:r>
    </w:p>
    <w:p>
      <w:pPr>
        <w:numPr>
          <w:ilvl w:val="0"/>
          <w:numId w:val="1008"/>
        </w:numPr>
        <w:pStyle w:val="Compact"/>
      </w:pPr>
      <w:r>
        <w:t xml:space="preserve">أولاً: من حيث الآثار: فكلاهما مصيره البطلان ويصح عقد الرهن، مالم يكن الشرط هو الباعث الدافع على التعاقد.</w:t>
      </w:r>
    </w:p>
    <w:p>
      <w:pPr>
        <w:numPr>
          <w:ilvl w:val="0"/>
          <w:numId w:val="1008"/>
        </w:numPr>
        <w:pStyle w:val="Compact"/>
      </w:pPr>
      <w:r>
        <w:t xml:space="preserve">ثانياً: من حيث أساس البطلان : يعد كلا الشرطين باطلاً لمخالفته النظام العام، لأنه ينطوي على استغلال الدائن المرتهن للمدين الراهن.</w:t>
      </w:r>
    </w:p>
    <w:p>
      <w:pPr>
        <w:numPr>
          <w:ilvl w:val="0"/>
          <w:numId w:val="1008"/>
        </w:numPr>
        <w:pStyle w:val="Compact"/>
      </w:pPr>
      <w:r>
        <w:t xml:space="preserve">ثالثاً: من حيث صيغة الاتفاق على الشرط : فقد جرت العادة أن يدرج كلاهما في عقد الرهن نفسه أو في اتفاق لاحق، إما بعد انعقاد عقد الرهن وقبل حلول أجل الدين المضمون بالرهن. أو بعد حلول أجل الدين الموثق بالرهن.</w:t>
      </w:r>
    </w:p>
    <w:p>
      <w:pPr>
        <w:numPr>
          <w:ilvl w:val="0"/>
          <w:numId w:val="1008"/>
        </w:numPr>
        <w:pStyle w:val="Compact"/>
      </w:pPr>
      <w:r>
        <w:t xml:space="preserve">رابعاً: من حيث طبيعة الشرط: إذ يعد كلاهما شرطاً من الشروط التقييدية المقترنة بالعقد، إلا أنه شرط باطل لمخالفته النظام العام، وفقاً للفقرة الثانية من المادة (۱۳۱) من القانون المدني العراقي، والمادة (٢٠٦) من قانون المعاملات المدنية الاتحادي الإماراتي.</w:t>
      </w:r>
    </w:p>
    <w:p>
      <w:pPr>
        <w:numPr>
          <w:ilvl w:val="0"/>
          <w:numId w:val="1008"/>
        </w:numPr>
        <w:pStyle w:val="Compact"/>
      </w:pPr>
      <w:r>
        <w:t xml:space="preserve">خامساً: كما يتشابه شرط تملك المال المرهون عند عدم الوفاء مع شرط الطريق الممهد، في أن كليهما يدرج في عقد الرهن التأميني الذي يرد على العقار، وذلك بمقتضى المواد (١٣٠١) من</w:t>
      </w:r>
    </w:p>
    <w:p>
      <w:pPr>
        <w:pStyle w:val="FirstParagraph"/>
      </w:pPr>
      <w:r>
        <w:t xml:space="preserve">424 السنة السادسة والثلاثون - مجلة جامعة الإمارات ]</w:t>
      </w:r>
    </w:p>
    <w:p>
      <w:pPr>
        <w:pStyle w:val="BodyText"/>
      </w:pPr>
      <w:hyperlink r:id="rId24">
        <w:r>
          <w:rPr>
            <w:rStyle w:val="Hyperlink"/>
          </w:rPr>
          <w:t xml:space="preserve">https://scholarworks.uaeu.ac.ae/sharia_and_law/vol2022/iss91/7</w:t>
        </w:r>
      </w:hyperlink>
    </w:p>
    <w:p>
      <w:pPr>
        <w:pStyle w:val="BodyText"/>
      </w:pPr>
      <w:r>
        <w:t xml:space="preserve">18</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End w:id="62"/>
    <w:bookmarkEnd w:id="63"/>
    <w:bookmarkStart w:id="65" w:name="الفرع-الثاني"/>
    <w:p>
      <w:pPr>
        <w:pStyle w:val="Heading2"/>
      </w:pPr>
      <w:r>
        <w:t xml:space="preserve">الفرع الثاني</w:t>
      </w:r>
    </w:p>
    <w:bookmarkStart w:id="64" w:name="Xab8abb25f979235ccfc3750470da0b68c59640e"/>
    <w:p>
      <w:pPr>
        <w:pStyle w:val="Heading3"/>
      </w:pPr>
      <w:r>
        <w:t xml:space="preserve">أوجه الاختلاف بين شرط تملك المال المرهون وشرط الطريق الممهد</w:t>
      </w:r>
    </w:p>
    <w:p>
      <w:pPr>
        <w:pStyle w:val="FirstParagraph"/>
      </w:pPr>
      <w:r>
        <w:t xml:space="preserve">يختلف شرط تملك المال المرهون عن شرط الطريق الممهد في مسألتين:</w:t>
      </w:r>
    </w:p>
    <w:p>
      <w:pPr>
        <w:pStyle w:val="BodyText"/>
      </w:pPr>
      <w:r>
        <w:t xml:space="preserve">الأولى من حيث الوظيفة : على الرغم من أن كليهما يعد شرط طاً اتفاقياً يدرج في عقد الرهن، إلا أنهما يختلفان من حيث الوظيفة :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۱۲۹۹ ) من القانون المدني العراقي التي نصت على أن ( للمرتهن</w:t>
      </w:r>
    </w:p>
    <w:p>
      <w:pPr>
        <w:pStyle w:val="BodyText"/>
      </w:pPr>
      <w:r>
        <w:t xml:space="preserve">(٥١) 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pStyle w:val="BodyText"/>
      </w:pPr>
      <w:r>
        <w:t xml:space="preserve">(٥٢) د. صلاح الدين الناهي. الوجيز في التأمينات الشخصية والعينية. دار المعرفة بغداد. ١٩٥٣. ص٥٦.</w:t>
      </w:r>
    </w:p>
    <w:p>
      <w:pPr>
        <w:pStyle w:val="BodyText"/>
      </w:pPr>
      <w:r>
        <w:t xml:space="preserve">425</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19</w:t>
      </w:r>
    </w:p>
    <w:p>
      <w:r>
        <w:pict>
          <v:rect style="width:0;height:1.5pt" o:hralign="center" o:hrstd="t" o:hr="t"/>
        </w:pict>
      </w:r>
    </w:p>
    <w:p>
      <w:pPr>
        <w:pStyle w:val="FirstParagraph"/>
      </w:pPr>
      <w:r>
        <w:t xml:space="preserve">Journal Sharia and Law, Vol. 2022, No. 91 [2022], Art. 7</w:t>
      </w:r>
    </w:p>
    <w:bookmarkEnd w:id="64"/>
    <w:bookmarkEnd w:id="65"/>
    <w:bookmarkEnd w:id="66"/>
    <w:bookmarkStart w:id="72" w:name="X3b7a456011971ad3a31db997a17bd7393e02818"/>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أن يستوفي حقه في العقار المرهون رهناً تأمينياً وفقاً للإجراءات المقررة لذلك، وإذا لم يف العقار بحقه، فله أن يستوفي ما بقي له كدائن عادي من سائر أموال المدين). وكل اتفاق على عدم مراعاة تلك الإجراءات يعد باطلاً لمخالفته النظام العام، لأنها وضعت للتوفيق بين المصالح المتعارضة لكل من الدائن المرتهن والمدين الراهن (٥٣) . وقد سارت محكمة تمييز العراق في هذا الاتجاه أيضاً، وجاء في أحد أحكامها بأن ( من مقتضيات عقد الرهن بيع المرهون عند عدم تسديد الدين) (٥٤) . كما جاءت المادة (١٤١٩) من قانون المعاملات المدنية الاتحادي الإماراتي بنفس الحكم، ونصت على أن (۱) - للمرتهن أن يستوفي دينه من العقار المرهون عند حلول أجل الدين طبقاً لمرتبته وبعد اتخاذ الإجراءات النصوص عليها في قانون الإجراءات أمام المحاكم المدنية والقوانين الخاصة. ۲ - فإذا لم يف العقار بدينه كان له الرجوع بباقي دينه على أموال المدين كدائن عادي).</w:t>
      </w:r>
    </w:p>
    <w:bookmarkStart w:id="67" w:name="Xc5080e395f8b4021e79ce7e2b155e2dbe5b4117"/>
    <w:p>
      <w:pPr>
        <w:pStyle w:val="Heading2"/>
      </w:pPr>
      <w:r>
        <w:t xml:space="preserve">ثانياً: من حيث تحقق مفهوم غلق الرهن المتعارف عليه في الفقه الإسلامي:</w:t>
      </w:r>
    </w:p>
    <w:p>
      <w:pPr>
        <w:pStyle w:val="FirstParagraph"/>
      </w:pPr>
      <w:r>
        <w:t xml:space="preserve">على الرغم من أن المادتين (۱۳۰۱) من القانون المدني العراقي، و (١٤٢٠) من قانون المعاملات المدنية الاتحادي الإماراتي أدرجتا كلاً من شرط تملك الدائن المرتهن للمال المرهون عند عدم الوفاء، وشرط بيع العقار المرهون دون المرور بالإجراءات القانونية، أو الطريق الممهد تحت عنوان غلق الرهن. إلا أن مفهوم غلق الرهن يتحقق، وعلى نحو أوضح في شرط تملك الدائن المرتهن للمال المرهون عند عدم الوفاء، من شرط الطريق الممهد لأن غلق الرهن ينطوي على معنى تملك المرتهن للمال المرهون، خلافاً لشرط الطريق الممهد الذي لا يؤدي إلى تملك المرتهن للمال المرهون مباشرةً، ولكن إلى بيعه من دون مراعاة الإجراءات القانونية. ويتحقق هذا المفهوم بوضوح في حديث رسول الله عليه الصلاة والسلام ( لا يغلق الرهن من صاحبه الذي رهنه،</w:t>
      </w:r>
    </w:p>
    <w:p>
      <w:pPr>
        <w:pStyle w:val="BodyText"/>
      </w:pPr>
      <w:r>
        <w:t xml:space="preserve">(٥٣) محمد طه البشير ود. غني حسون طه. الحقوق العينية. الجزء الثاني. مصدر سابق. ص٤٢٨.</w:t>
      </w:r>
    </w:p>
    <w:p>
      <w:pPr>
        <w:pStyle w:val="BodyText"/>
      </w:pPr>
      <w:r>
        <w:t xml:space="preserve">(٥٤) حكم محكمة تمييز العراق ذو الرقم (١٣٣ / صلحية / ٥٦) في ٢٢/ ٢ / ١٩٥٦ نقلاً عن سلمان بيات. القضاء المدني العراقي. الجزء الثاني. شركة الطبع والنشر الأهلية بغداد. ١٩٦٢. ص ٧٠٢.</w:t>
      </w:r>
    </w:p>
    <w:p>
      <w:pPr>
        <w:pStyle w:val="BodyText"/>
      </w:pPr>
      <w:r>
        <w:t xml:space="preserve">426 السنة السادسة والثلاثون - مجلة جامعة الإمارات ]</w:t>
      </w:r>
    </w:p>
    <w:p>
      <w:pPr>
        <w:pStyle w:val="BodyText"/>
      </w:pPr>
      <w:r>
        <w:t xml:space="preserve">https://scholarworks.uaeu.ac.ae/sharia_and_law/vol2022/iss91/7</w:t>
      </w:r>
    </w:p>
    <w:p>
      <w:pPr>
        <w:pStyle w:val="BodyText"/>
      </w:pPr>
      <w:r>
        <w:t xml:space="preserve">20</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له غنمه وعليه غرمه). والذي تأثر به القانونان العراقي والإماراتي، في موقفهما الرافض لغلق</w:t>
      </w:r>
      <w:r>
        <w:t xml:space="preserve"> </w:t>
      </w:r>
      <w:r>
        <w:t xml:space="preserve">الرهن الذي يعني تملك المرتهن للمرهون. كما في قول الدائن لمدينه : "إن لم آتك بمالك فالرهن</w:t>
      </w:r>
      <w:r>
        <w:t xml:space="preserve"> </w:t>
      </w:r>
      <w:r>
        <w:t xml:space="preserve">لك". وهو بهذا المعنى يناقض مفهوم فك الرهن الذي يعني إطلاق قيده من المرتهن. فإذا فك</w:t>
      </w:r>
      <w:r>
        <w:t xml:space="preserve"> </w:t>
      </w:r>
      <w:r>
        <w:t xml:space="preserve">الراهن الرهن فقد أطلقه من وثاقه عند مرتهنه (٥٥) . فغلق الرهن يعني ملك المرتهن للمرهون</w:t>
      </w:r>
      <w:r>
        <w:t xml:space="preserve"> </w:t>
      </w:r>
      <w:r>
        <w:t xml:space="preserve">واستحقاقه له، لعجز الراهن عن فكه (٥٦) .</w:t>
      </w:r>
    </w:p>
    <w:bookmarkEnd w:id="67"/>
    <w:bookmarkStart w:id="71" w:name="المبحث-الثاني"/>
    <w:p>
      <w:pPr>
        <w:pStyle w:val="Heading2"/>
      </w:pPr>
      <w:r>
        <w:t xml:space="preserve">المبحث الثاني</w:t>
      </w:r>
    </w:p>
    <w:bookmarkStart w:id="68" w:name="X76be8e7e694d457f26470d9b5e1b01d288c08ac"/>
    <w:p>
      <w:pPr>
        <w:pStyle w:val="Heading3"/>
      </w:pPr>
      <w:r>
        <w:t xml:space="preserve">موقف الفقه الإسلامي من غلق الرهن ومدى تأثر القوانين المقارنة به</w:t>
      </w:r>
    </w:p>
    <w:p>
      <w:pPr>
        <w:pStyle w:val="FirstParagraph"/>
      </w:pPr>
      <w:r>
        <w:t xml:space="preserve">سوف نحاول في هذا المبحث أن ندرس وبإيجاز موقف الفقه الإسلامي الجليل من موضوع</w:t>
      </w:r>
      <w:r>
        <w:t xml:space="preserve"> </w:t>
      </w:r>
      <w:r>
        <w:t xml:space="preserve">غلق الرهن ومدى مشروعيته أو عدم مشروعيته وبالتالي بطلانه، ثم مدى تأثر القوانين المقارنة</w:t>
      </w:r>
      <w:r>
        <w:t xml:space="preserve"> </w:t>
      </w:r>
      <w:r>
        <w:t xml:space="preserve">به. وسوف نحاول أن نتلمس الأدلة الفقهية التي تقضي ببطلانه ، وبالمقابل الأدلة الأخرى التي</w:t>
      </w:r>
      <w:r>
        <w:t xml:space="preserve"> </w:t>
      </w:r>
      <w:r>
        <w:t xml:space="preserve">تقضي بمشروعيته. فقد ذهب غالبية الفقهاء المسلمين إلى بطلانه، في الوقت الذي ذهبت بعض</w:t>
      </w:r>
      <w:r>
        <w:t xml:space="preserve"> </w:t>
      </w:r>
      <w:r>
        <w:t xml:space="preserve">الآراء الفقهية إلى مشروعيته وإجازته. لذا فسوف نحاول أولاً دراسة الاتجاه المبطل لغلق</w:t>
      </w:r>
      <w:r>
        <w:t xml:space="preserve"> </w:t>
      </w:r>
      <w:r>
        <w:t xml:space="preserve">الرهن، وعرض أدلة الحظر في الفقه الإسلامي، وتحديد نطاقها. ثم الاتجاه المبيح له وأدلة</w:t>
      </w:r>
      <w:r>
        <w:t xml:space="preserve"> </w:t>
      </w:r>
      <w:r>
        <w:t xml:space="preserve">الإباحة وعلى النحو الآتي:</w:t>
      </w:r>
    </w:p>
    <w:bookmarkEnd w:id="68"/>
    <w:bookmarkStart w:id="69" w:name="المطلب-الأول-1"/>
    <w:p>
      <w:pPr>
        <w:pStyle w:val="Heading3"/>
      </w:pPr>
      <w:r>
        <w:t xml:space="preserve">المطلب الأول</w:t>
      </w:r>
    </w:p>
    <w:bookmarkEnd w:id="69"/>
    <w:bookmarkStart w:id="70" w:name="الاتجاه-المبطل-لغلق-الرهن"/>
    <w:p>
      <w:pPr>
        <w:pStyle w:val="Heading3"/>
      </w:pPr>
      <w:r>
        <w:t xml:space="preserve">الاتجاه المبطل لغلق الرهن</w:t>
      </w:r>
    </w:p>
    <w:p>
      <w:pPr>
        <w:pStyle w:val="FirstParagraph"/>
      </w:pPr>
      <w:r>
        <w:t xml:space="preserve">يستند هذا الاتجاه الفقهي في إبطاله لغلق الرهن إلى حديث رسول الله صلى الله عليه وسلم</w:t>
      </w:r>
      <w:r>
        <w:t xml:space="preserve"> </w:t>
      </w:r>
      <w:r>
        <w:t xml:space="preserve">(لا يغلق الرهن من صاحبه الذي رهنه ، له غنمه وعليه غُرمه) (٥٧). فقد أبطله بعد أن كان</w:t>
      </w:r>
    </w:p>
    <w:p>
      <w:pPr>
        <w:pStyle w:val="BodyText"/>
      </w:pPr>
      <w:r>
        <w:t xml:space="preserve">(٥٥) محمد بن علي بن محمد الشوكاني. نيل الأوطار . مصدر سابق. ص</w:t>
      </w:r>
      <m:oMath>
        <m:r>
          <m:t>1037</m:t>
        </m:r>
      </m:oMath>
      <w:r>
        <w:t xml:space="preserve">.</w:t>
      </w:r>
    </w:p>
    <w:p>
      <w:pPr>
        <w:pStyle w:val="BodyText"/>
      </w:pPr>
      <w:r>
        <w:t xml:space="preserve">(٥٦) د. منصور حاتم محسن الفتلاوي وزينب حسين يوسف الغرابي. مصدر سابق. ص</w:t>
      </w:r>
      <m:oMath>
        <m:r>
          <m:t>39</m:t>
        </m:r>
      </m:oMath>
      <w:r>
        <w:t xml:space="preserve">.</w:t>
      </w:r>
    </w:p>
    <w:p>
      <w:pPr>
        <w:pStyle w:val="BodyText"/>
      </w:pPr>
      <w:r>
        <w:t xml:space="preserve">(٥٧) رواه البيهقي في سننه وقال أخبرنا أبو سعيد بن أبي عمرو، وأنبأ أبو محمد أحمد بن عبد الله المزني، ثنا علي بن محمد</w:t>
      </w:r>
      <w:r>
        <w:t xml:space="preserve"> </w:t>
      </w:r>
      <w:r>
        <w:t xml:space="preserve">بن عيسى، ثنا أبو اليمان، أخبرني شعيب بن أبي حمزة عن الزهري قال: سمعت سعيد بن المسيب يقول: قال رسول الله =</w:t>
      </w:r>
    </w:p>
    <w:p>
      <w:pPr>
        <w:pStyle w:val="BodyText"/>
      </w:pPr>
      <w:r>
        <w:t xml:space="preserve">427</w:t>
      </w:r>
    </w:p>
    <w:p>
      <w:pPr>
        <w:pStyle w:val="BodyText"/>
      </w:pPr>
      <w:r>
        <w:t xml:space="preserve">العدد الواحد والتسعون - ذو الحجة</w:t>
      </w:r>
      <w:r>
        <w:t xml:space="preserve"> </w:t>
      </w:r>
      <m:oMath>
        <m:r>
          <m:t>1443</m:t>
        </m:r>
      </m:oMath>
      <w:r>
        <w:t xml:space="preserve"> </w:t>
      </w:r>
      <w:r>
        <w:t xml:space="preserve">هـ يوليو</w:t>
      </w:r>
      <w:r>
        <w:t xml:space="preserve"> </w:t>
      </w:r>
      <m:oMath>
        <m:r>
          <m:t>2022</m:t>
        </m:r>
      </m:oMath>
      <w:r>
        <w:t xml:space="preserve">]</w:t>
      </w:r>
    </w:p>
    <w:p>
      <w:pPr>
        <w:pStyle w:val="BodyText"/>
      </w:pPr>
      <w:r>
        <w:t xml:space="preserve">Published by Scholarworks@UAEU, 2022</w:t>
      </w:r>
    </w:p>
    <w:p>
      <w:pPr>
        <w:pStyle w:val="BodyText"/>
      </w:pPr>
      <w:r>
        <w:t xml:space="preserve">21</w:t>
      </w:r>
    </w:p>
    <w:p>
      <w:r>
        <w:pict>
          <v:rect style="width:0;height:1.5pt" o:hralign="center" o:hrstd="t" o:hr="t"/>
        </w:pict>
      </w:r>
    </w:p>
    <w:p>
      <w:pPr>
        <w:pStyle w:val="FirstParagraph"/>
      </w:pPr>
      <w:r>
        <w:t xml:space="preserve">Journal Sharia and Law, Vol. 2022, No. 91 [2022], Art. 7</w:t>
      </w:r>
    </w:p>
    <w:bookmarkEnd w:id="70"/>
    <w:bookmarkEnd w:id="71"/>
    <w:bookmarkEnd w:id="72"/>
    <w:bookmarkStart w:id="73" w:name="Xdcf782601a0e7c963d0fe4f448a824a7a417c97"/>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r>
        <w:pict>
          <v:rect style="width:0;height:1.5pt" o:hralign="center" o:hrstd="t" o:hr="t"/>
        </w:pict>
      </w:r>
    </w:p>
    <w:p>
      <w:pPr>
        <w:pStyle w:val="FirstParagraph"/>
      </w:pPr>
      <w:r>
        <w:t xml:space="preserve">= صلى الله عليه وسلم (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۲۰۰۳. ص ۷۳.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صحیح سنن ابن ماجة . للإمام الحافظ أبي عبد الله محمد بن يزيد القزويني. المجلد الثاني. الطبعة الأولى. مكتبة المعارف للنشر والتوزيع الرياض. ۱۹۹۷. ص۲۸۷.</w:t>
      </w:r>
    </w:p>
    <w:p>
      <w:pPr>
        <w:numPr>
          <w:ilvl w:val="0"/>
          <w:numId w:val="1009"/>
        </w:numPr>
        <w:pStyle w:val="Compact"/>
      </w:pPr>
      <w:r>
        <w:t xml:space="preserve">محمد بن علي بن محمد الشوكاني. نيل الأوطار. مصدر سابق. ص۱۰۳۷.</w:t>
      </w:r>
    </w:p>
    <w:p>
      <w:pPr>
        <w:numPr>
          <w:ilvl w:val="0"/>
          <w:numId w:val="1009"/>
        </w:numPr>
        <w:pStyle w:val="Compact"/>
      </w:pPr>
      <w: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numPr>
          <w:ilvl w:val="0"/>
          <w:numId w:val="1009"/>
        </w:numPr>
        <w:pStyle w:val="Compact"/>
      </w:pPr>
      <w:r>
        <w:t xml:space="preserve">شمس الدين السرخسي . المبسوط. الجزء الحادي والعشرون. دار المعرفة بيروت. ١٩٨٩. ص٦٦.</w:t>
      </w:r>
    </w:p>
    <w:p>
      <w:pPr>
        <w:numPr>
          <w:ilvl w:val="0"/>
          <w:numId w:val="1009"/>
        </w:numPr>
        <w:pStyle w:val="Compact"/>
      </w:pPr>
      <w: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pStyle w:val="FirstParagraph"/>
      </w:pPr>
      <w:r>
        <w:t xml:space="preserve">428</w:t>
      </w:r>
    </w:p>
    <w:p>
      <w:pPr>
        <w:pStyle w:val="BodyText"/>
      </w:pPr>
      <w:r>
        <w:t xml:space="preserve">السنة السادسة والثلاثون - مجلة جامعة الإمارات</w:t>
      </w:r>
    </w:p>
    <w:p>
      <w:pPr>
        <w:pStyle w:val="BodyText"/>
      </w:pPr>
      <w:r>
        <w:t xml:space="preserve">https://scholarworks.uaeu.ac.ae/sharia_and_law/vol2022/iss91/7</w:t>
      </w:r>
    </w:p>
    <w:p>
      <w:pPr>
        <w:pStyle w:val="BodyText"/>
      </w:pPr>
      <w:r>
        <w:t xml:space="preserve">22</w:t>
      </w:r>
    </w:p>
    <w:p>
      <w:r>
        <w:pict>
          <v:rect style="width:0;height:1.5pt" o:hralign="center" o:hrstd="t" o:hr="t"/>
        </w:pict>
      </w:r>
    </w:p>
    <w:p>
      <w:pPr>
        <w:pStyle w:val="FirstParagraph"/>
      </w:pPr>
      <w:r>
        <w:t xml:space="preserve">Ali: ??? ????? ?? ??????? ????????? ????? ??????? ?????? ?????? ???????? ???????? ??????? د.يونس صلاح الدين علي]</w:t>
      </w:r>
    </w:p>
    <w:p>
      <w:pPr>
        <w:pStyle w:val="BodyText"/>
      </w:pPr>
      <w: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pStyle w:val="BodyText"/>
      </w:pPr>
      <w:r>
        <w:t xml:space="preserve">(٦٢) أبو الحسن علي بن عبد السلام التسولي. البهجة في شرح التحفة الجزء الأول. الطبعة الأولى. دار الكتب العلمية بيروت . لبنان. ۱۹۹۸. ص ۲۸۸.</w:t>
      </w:r>
    </w:p>
    <w:p>
      <w:pPr>
        <w:pStyle w:val="BodyText"/>
      </w:pPr>
      <w: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حديث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۲۳۷)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pStyle w:val="BodyText"/>
      </w:pPr>
      <w:r>
        <w:t xml:space="preserve">(٦٤) علاء الدين أبو بكر بن مسعود الكاساني الحنفي بدائع الصنائع في ترتيب الشرائع . ج . المصدر نفسه. ص١٧٦.</w:t>
      </w:r>
    </w:p>
    <w:p>
      <w:pPr>
        <w:pStyle w:val="BodyText"/>
      </w:pPr>
      <w:r>
        <w:t xml:space="preserve">429</w:t>
      </w:r>
    </w:p>
    <w:p>
      <w:pPr>
        <w:pStyle w:val="BodyText"/>
      </w:pPr>
      <w:r>
        <w:t xml:space="preserve">العدد الواحد والتسعون - ذو الحجة 1443 هـ يوليو 2022]</w:t>
      </w:r>
    </w:p>
    <w:p>
      <w:pPr>
        <w:pStyle w:val="BodyText"/>
      </w:pPr>
      <w:r>
        <w:t xml:space="preserve">Published by Scholarworks@UAEU, 2022</w:t>
      </w:r>
    </w:p>
    <w:p>
      <w:r>
        <w:pict>
          <v:rect style="width:0;height:1.5pt" o:hralign="center" o:hrstd="t" o:hr="t"/>
        </w:pict>
      </w:r>
    </w:p>
    <w:p>
      <w:pPr>
        <w:pStyle w:val="FirstParagraph"/>
      </w:pPr>
      <w:r>
        <w:t xml:space="preserve">Journal Sharia and Law, Vol. 2022, No. 91 [2022], Art. 7</w:t>
      </w:r>
    </w:p>
    <w:bookmarkEnd w:id="73"/>
    <w:bookmarkStart w:id="77" w:name="X953e6dbfc83801efec2ab99c84ee225fc1b2fd4"/>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المعاملات التجارية الاتحادي الإماراتي رقم (١٨) لسنة ١٩٩٣(٦٥).</w:t>
      </w:r>
    </w:p>
    <w:bookmarkStart w:id="76" w:name="المطلب-الثاني-1"/>
    <w:p>
      <w:pPr>
        <w:pStyle w:val="Heading2"/>
      </w:pPr>
      <w:r>
        <w:t xml:space="preserve">المطلب الثاني</w:t>
      </w:r>
    </w:p>
    <w:bookmarkStart w:id="74" w:name="الاتجاه-المبيح-لغلق-الرهن"/>
    <w:p>
      <w:pPr>
        <w:pStyle w:val="Heading3"/>
      </w:pPr>
      <w:r>
        <w:t xml:space="preserve">الاتجاه المبيح لغلق الرهن</w:t>
      </w:r>
    </w:p>
    <w:p>
      <w:pPr>
        <w:pStyle w:val="FirstParagraph"/>
      </w:pPr>
      <w:r>
        <w:t xml:space="preserve">أما الاتجاه الفقهي الثاني فيبيح غلق الرهن المتمثل في صورة بيعه للمرتهن عند حلول أجل الدين. فيتفق المرتهن والراهن على تملك الأول للعين المرهونة بشرائها بثمن الدين المضمون. ويذهب هذا الاتجاه إلى أنه يصح قول الراهن للمرتهن (إن وفيتك الدين في أجل معين كان كذا، وإلا فالرهن لك بما عليه). كما يذهب أصحاب هذا الرأي أيضاً إلى أن من احتجوا بقوله عليه الصلاة والسلام لا يغلق الرهن لا حجة لهم فيه. فإن هذا كان موجبه في الجاهلية أن الدائن المرتهن يتملك المرهون بغير إذن المالك إذا لم يوفه؛ فهذا هو غلق الرهن الذي أبطله رسول الله عليه الصلاة والسلام، وأما بيعه للمرتهن بما عليه من دين عند حلول أجله فلم يبطله الكتاب ولا السنة ولا المصادر الأخرى كالإجماع والقياس. وهو صحيح لا تشوبه مفسدة ظاهرة(٦٦). وكل ما في الأمر أنه بيع علق على شرط. وقد تدعو الحاجة والمصلحة إلى ذلك أحياناً، فلا يجوز أن يحرم على الدائن المرتهن ما لم يحرمه الله ورسوله. وغلق الرهن في هذه الصورة فيه خير للراهن والمرتهن على حد سواء، بدلاً من تكليف المرتهن رفع الأمر إلى الحاكم وإثباته الرهن واستئذانه في بيعه وما و يحمله معه من تعب لا مصلحة فيه لكليهما سوى الخسارة والمشقة. فإذا اتفقا على أن المرهون له بالدين عند الحلول، أي تملك المرتهن للمال المرهون عند حلول أجل الدين وعدم وفاء الراهن، كان ذلك أصلح لهما وأنفع وأبعد من الضرر والمشقة والخسارة. فالحيلة في جواز ذلك بحيث لا يحتاج إلى حاكم أن يملكه العين التي يريد أن يرهنها منه، ثم يشتريها منه بالمبلغ الذي يريد استدانته، ثم يقول:</w:t>
      </w:r>
    </w:p>
    <w:p>
      <w:pPr>
        <w:pStyle w:val="BodyText"/>
      </w:pPr>
      <w:r>
        <w:t xml:space="preserve">(٦٥) نصت الفقرة الأولى من المادة (١٧٦) من قانون المعاملات التجارية الاتحادي الإماراتي رقم (۱۸) لسنة ١٩٩٣ على أنه (يقع باطلاً كل اتفاق يبرم وقت تقرير الرهن أو بعد تقريره ويعطي الدائن المرتهن في حالة عدم وفاء المدين بالدين في تاريخ الاستحقاق الحق في تملك الشيء المرهون أو بيعه دون مراعاة الأحكام والإجراءات المنصوص عليها في المادة ١٧٢).</w:t>
      </w:r>
    </w:p>
    <w:p>
      <w:pPr>
        <w:pStyle w:val="BodyText"/>
      </w:pPr>
      <w:r>
        <w:t xml:space="preserve">(٦٦) أبو عبد الله محمد بن أبي بكر بن أيوب المعروف بابن قيم الجوزية. إعلام الموقعين عن رب العالمين. المجلد الخامس. الطبعة الأولى. دار ابن الجوزي المملكة العربية السعودية. ١٤٢٣ هـ. ص ٣٤٣.</w:t>
      </w:r>
    </w:p>
    <w:p>
      <w:pPr>
        <w:pStyle w:val="BodyText"/>
      </w:pPr>
      <w:r>
        <w:t xml:space="preserve">430 السنة السادسة والثلاثون - مجلة جامعة الإمارات ]</w:t>
      </w:r>
    </w:p>
    <w:p>
      <w:pPr>
        <w:pStyle w:val="BodyText"/>
      </w:pPr>
      <w:r>
        <w:t xml:space="preserve">24</w:t>
      </w:r>
    </w:p>
    <w:p>
      <w:pPr>
        <w:pStyle w:val="BodyText"/>
      </w:pPr>
      <w:hyperlink r:id="rId24">
        <w:r>
          <w:rPr>
            <w:rStyle w:val="Hyperlink"/>
          </w:rPr>
          <w:t xml:space="preserve">https://scholarworks.uaeu.ac.ae/sharia_and_law/vol2022/iss91/7</w:t>
        </w:r>
      </w:hyperlink>
    </w:p>
    <w:p>
      <w:r>
        <w:pict>
          <v:rect style="width:0;height:1.5pt" o:hralign="center" o:hrstd="t" o:hr="t"/>
        </w:pict>
      </w:r>
    </w:p>
    <w:p>
      <w:pPr>
        <w:pStyle w:val="FirstParagraph"/>
      </w:pPr>
      <w:r>
        <w:t xml:space="preserve">Ali: ??? ????? ?? ??????? ????????? ????? ??????? ?????? ?????? ???????? ???????? ???????</w:t>
      </w:r>
    </w:p>
    <w:bookmarkEnd w:id="74"/>
    <w:bookmarkStart w:id="75" w:name="د.يونس-صلاح-الدين-علي-1"/>
    <w:p>
      <w:pPr>
        <w:pStyle w:val="Heading3"/>
      </w:pPr>
      <w:r>
        <w:t xml:space="preserve">د.يونس صلاح الدين علي]</w:t>
      </w:r>
    </w:p>
    <w:p>
      <w:pPr>
        <w:pStyle w:val="FirstParagraph"/>
      </w:pPr>
      <w: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w:t>
      </w:r>
    </w:p>
    <w:p>
      <w:pPr>
        <w:pStyle w:val="BodyText"/>
      </w:pPr>
      <w:r>
        <w:t xml:space="preserve">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w:t>
      </w:r>
    </w:p>
    <w:p>
      <w:pPr>
        <w:pStyle w:val="BodyText"/>
      </w:pPr>
      <w:r>
        <w:t xml:space="preserve">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 كما أن عليه غرمه في حالة عدم تمكنه من الوفاء بالدين الموثق بالرهن فيفقد ملكه بعد بيعه بإذن الحاكم وبإشرافه.</w:t>
      </w:r>
    </w:p>
    <w:p>
      <w:pPr>
        <w:pStyle w:val="BodyText"/>
      </w:pPr>
      <w:r>
        <w:t xml:space="preserve">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w:t>
      </w:r>
    </w:p>
    <w:p>
      <w:pPr>
        <w:pStyle w:val="BodyText"/>
      </w:pPr>
      <w:r>
        <w:t xml:space="preserve">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w:t>
      </w:r>
    </w:p>
    <w:p>
      <w:pPr>
        <w:pStyle w:val="BodyText"/>
      </w:pPr>
      <w:r>
        <w:t xml:space="preserve">لأنه يخالف معنى غلق الرهن الذي كان سائداً في الجاهلية، والذي حرمه عليه الصلاة والسلام. 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w:t>
      </w:r>
    </w:p>
    <w:p>
      <w:pPr>
        <w:pStyle w:val="BodyText"/>
      </w:pPr>
      <w:r>
        <w:t xml:space="preserve">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w:t>
      </w:r>
    </w:p>
    <w:p>
      <w:pPr>
        <w:pStyle w:val="BodyText"/>
      </w:pPr>
      <w:r>
        <w:t xml:space="preserve">وقد سارت الفقرة الثانية من المادة (١٠٥٢) من القانون المدني المصري في هذا الاتجاه وأجازت غلق الرهن، إذ نصت</w:t>
      </w:r>
    </w:p>
    <w:p>
      <w:r>
        <w:pict>
          <v:rect style="width:0;height:1.5pt" o:hralign="center" o:hrstd="t" o:hr="t"/>
        </w:pict>
      </w:r>
    </w:p>
    <w:p>
      <w:pPr>
        <w:pStyle w:val="FirstParagraph"/>
      </w:pPr>
      <w:r>
        <w:t xml:space="preserve">431</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25</w:t>
      </w:r>
    </w:p>
    <w:p>
      <w:r>
        <w:pict>
          <v:rect style="width:0;height:1.5pt" o:hralign="center" o:hrstd="t" o:hr="t"/>
        </w:pict>
      </w:r>
    </w:p>
    <w:p>
      <w:pPr>
        <w:pStyle w:val="FirstParagraph"/>
      </w:pPr>
      <w:r>
        <w:t xml:space="preserve">Journal Sharia and Law, Vol. 2022, No. 91 [2022], Art. 7</w:t>
      </w:r>
    </w:p>
    <w:bookmarkEnd w:id="75"/>
    <w:bookmarkEnd w:id="76"/>
    <w:bookmarkEnd w:id="77"/>
    <w:bookmarkStart w:id="80" w:name="X00bcc16f5ebde01e71e0f0eef688509445939ad"/>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على أنه (ولكن يجوز بعد حلول الدين أو قسط منه الاتفاق على أن ينزل المدين لدائنه عن العقار</w:t>
      </w:r>
      <w:r>
        <w:t xml:space="preserve"> </w:t>
      </w:r>
      <w:r>
        <w:t xml:space="preserve">المرهون وفاء لدينه). فإذا أبرم الاتفاق بين الدائن المرتهن والمدين الراهن على نزول الراهن للمرتهن</w:t>
      </w:r>
      <w:r>
        <w:t xml:space="preserve"> </w:t>
      </w:r>
      <w:r>
        <w:t xml:space="preserve">عن العقار المرهون وفاءً لدينه وتملك الأخير للعقار في مقابل الدين المضمون، صح ذلك الاتفاق</w:t>
      </w:r>
      <w:r>
        <w:t xml:space="preserve"> </w:t>
      </w:r>
      <w:r>
        <w:t xml:space="preserve">إذا تم بعد حلول الدين كله أو قسط منه. لأن شرط تملك العقار المرهون عند عدم الوفاء لا ينطوي</w:t>
      </w:r>
      <w:r>
        <w:t xml:space="preserve"> </w:t>
      </w:r>
      <w:r>
        <w:t xml:space="preserve">على استغلال الراهن في هذه الحالة (٦٧). كما أجازت الفقرة الثانية من المادة (١٧٦) من قانون</w:t>
      </w:r>
      <w:r>
        <w:t xml:space="preserve"> </w:t>
      </w:r>
      <w:r>
        <w:t xml:space="preserve">المعاملات التجارية الاتحادي الإماراتي رقم (١٨) لسنة ١٩٩٣(٦٨) للراهن، في مجال الرهن</w:t>
      </w:r>
      <w:r>
        <w:t xml:space="preserve"> </w:t>
      </w:r>
      <w:r>
        <w:t xml:space="preserve">التجاري، أن يتنازل للدائن المرتهن، وبمقتضى اتفاق لاحق، عن المرهون أو جزء منه بعد حلول</w:t>
      </w:r>
      <w:r>
        <w:t xml:space="preserve"> </w:t>
      </w:r>
      <w:r>
        <w:t xml:space="preserve">أجل الدين أو الوفاء بقسط منه، وذلك وفاءً للدين أو لجانب منه. وسارت المادة (٢٧) من قانون</w:t>
      </w:r>
      <w:r>
        <w:t xml:space="preserve"> </w:t>
      </w:r>
      <w:r>
        <w:t xml:space="preserve">رهن الأموال المنقولة الاتحادي الإماراتي رقم (٢٠) لسنة ٢٠١٦(٦٩) في نفس الاتجاه أيضاً،</w:t>
      </w:r>
      <w:r>
        <w:t xml:space="preserve"> </w:t>
      </w:r>
      <w:r>
        <w:t xml:space="preserve">وأعطت للدائن المرتهن الحق في وضع اليد على المال المرهون والتنفيذ عليه وفصله عن أي مال آخر</w:t>
      </w:r>
      <w:r>
        <w:t xml:space="preserve"> </w:t>
      </w:r>
      <w:r>
        <w:t xml:space="preserve">ملحق به وبيعه بسعر السوق، إذا تم الاتفاق على التنفيذ من دون اللجوء إلى القضاء. ويعد ذلك</w:t>
      </w:r>
      <w:r>
        <w:t xml:space="preserve"> </w:t>
      </w:r>
      <w:r>
        <w:t xml:space="preserve">تجسيداً لشرط الطريق الممهد، أو ما يعرف بشرط الاتفاق على بيع العقار المرهون دون المرور</w:t>
      </w:r>
    </w:p>
    <w:p>
      <w:pPr>
        <w:pStyle w:val="BodyText"/>
      </w:pPr>
      <w:r>
        <w:t xml:space="preserve">(٦٧) د. عبد الرزاق أحمد السنهوري. الوسيط في شرح القانون المدني . ج . ١٠. مصدر سابق. ص ٣٣٥.</w:t>
      </w:r>
    </w:p>
    <w:p>
      <w:pPr>
        <w:pStyle w:val="BodyText"/>
      </w:pPr>
      <w:r>
        <w:t xml:space="preserve">(٦٨) نصت الفقرة الثانية من المادة (١٧٦) من قانون المعاملات التجارية الاتحادي الإماراتي رقم (١٨) لسنة ١٩٩٣ على</w:t>
      </w:r>
      <w:r>
        <w:t xml:space="preserve"> </w:t>
      </w:r>
      <w:r>
        <w:t xml:space="preserve">أنه ( ومع ذلك يجوز بعد حلول الدين أو قسط منه الاتفاق على أن ينزل المدين لدائنه عن الشيء المرهون أو جزء منه وفاء</w:t>
      </w:r>
      <w:r>
        <w:t xml:space="preserve"> </w:t>
      </w:r>
      <w:r>
        <w:t xml:space="preserve">للدين أو الجانب منه).</w:t>
      </w:r>
    </w:p>
    <w:p>
      <w:pPr>
        <w:pStyle w:val="BodyText"/>
      </w:pPr>
      <w:r>
        <w:t xml:space="preserve">(٦٩) نصت المادة (٢٧) من قانون رهن الأموال المنقولة الاتحادي الإماراتي رقم (٢٠) لسنة (٢٠١٦) على أنه (في حال</w:t>
      </w:r>
      <w:r>
        <w:t xml:space="preserve"> </w:t>
      </w:r>
      <w:r>
        <w:t xml:space="preserve">إخلال الراهن أو المضمون عنه بالالتزامات المترتبة عليه بموجب عقد الرهن أو إذا لم يتم تنفيذ ذلك الاتفاق لأي سبب</w:t>
      </w:r>
      <w:r>
        <w:t xml:space="preserve"> </w:t>
      </w:r>
      <w:r>
        <w:t xml:space="preserve">آخر، للمرتهن إخطار الراهن والمضمون عنه خطياً لتمكينه من وضع يده على محل الرهن والتنفيذ عليه وفصله عن أي</w:t>
      </w:r>
      <w:r>
        <w:t xml:space="preserve"> </w:t>
      </w:r>
      <w:r>
        <w:t xml:space="preserve">مال آخر ملحق به وبيعه بسعر السوق خلال مدة لا تقل عن عشرة أيام عمل من تاريخ وصول الإخطار للراهن</w:t>
      </w:r>
      <w:r>
        <w:t xml:space="preserve"> </w:t>
      </w:r>
      <w:r>
        <w:t xml:space="preserve">والمضمون عنه، على أن يتم ذلك وفق الشروط الآتية : ١ - أن يتم الاتفاق على التنفيذ دون اللجوء للمحكمة ٢- أن لا</w:t>
      </w:r>
      <w:r>
        <w:t xml:space="preserve"> </w:t>
      </w:r>
      <w:r>
        <w:t xml:space="preserve">يكون محل الرهن مثقلاً بأي حق رهن آخر، وفي حال وجود حق رهن آخر تم إنشاؤه على ذات محل الرهن وفق أحكام</w:t>
      </w:r>
      <w:r>
        <w:t xml:space="preserve"> </w:t>
      </w:r>
      <w:r>
        <w:t xml:space="preserve">هذا القانون، فيتوجب الحصول على الموافقة الخطية لجميع المرتهنين على ذلك -٣- إخطار حائز محل الرهن المثبت في</w:t>
      </w:r>
      <w:r>
        <w:t xml:space="preserve"> </w:t>
      </w:r>
      <w:r>
        <w:t xml:space="preserve">السجل إذا كان محل الرهن في حيازة الغير ٤ - إخطار مالك العقار الذي يوجد فيه محل الرهن أو الدائن المرتهن لذلك</w:t>
      </w:r>
      <w:r>
        <w:t xml:space="preserve"> </w:t>
      </w:r>
      <w:r>
        <w:t xml:space="preserve">العقار، ومالك المال المنقول الذي ألحق به محل الرهن وحائز ذلك المال، وذلك إذا كان محل الرهن عقاراً بالتخصيص).</w:t>
      </w:r>
    </w:p>
    <w:p>
      <w:pPr>
        <w:pStyle w:val="BodyText"/>
      </w:pPr>
      <w:r>
        <w:t xml:space="preserve">432 السنة السادسة والثلاثون - مجلة جامعة الإمارات ]</w:t>
      </w:r>
    </w:p>
    <w:p>
      <w:pPr>
        <w:pStyle w:val="BodyText"/>
      </w:pPr>
      <w:r>
        <w:t xml:space="preserve">https://scholarworks.uaeu.ac.ae/sharia_and_law/vol2022/iss91/7</w:t>
      </w:r>
    </w:p>
    <w:p>
      <w:pPr>
        <w:pStyle w:val="BodyText"/>
      </w:pPr>
      <w:r>
        <w:t xml:space="preserve">26</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بالإجراءات القانونية (٧٠) . كما أجازت المادة (۲۸) من هذا القانون (۷۱)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Start w:id="79" w:name="المبحث-الثالث"/>
    <w:p>
      <w:pPr>
        <w:pStyle w:val="Heading2"/>
      </w:pPr>
      <w:r>
        <w:t xml:space="preserve">المبحث الثالث</w:t>
      </w:r>
    </w:p>
    <w:bookmarkStart w:id="78" w:name="X0b208a153fbf08155f9abdc2e063c30d520b1f4"/>
    <w:p>
      <w:pPr>
        <w:pStyle w:val="Heading3"/>
      </w:pPr>
      <w:r>
        <w:t xml:space="preserve">الآثار القانونية المترتبة على غلق الرهن في القانونين الإنجليزي والمقارن</w:t>
      </w:r>
    </w:p>
    <w:p>
      <w:pPr>
        <w:pStyle w:val="FirstParagraph"/>
      </w:pPr>
      <w:r>
        <w:t xml:space="preserve">لا يرتب غلق الرهن آثاره القانونية عادةً إذا ما قام المدين الراهن بالوفاء بالدين المضمون بالرهن عند حلول موعد الاستحقاق (۷۲)، فغلق الرهن لا يتحقق إلا إذا أخفق المدين الراهن</w:t>
      </w:r>
    </w:p>
    <w:p>
      <w:pPr>
        <w:pStyle w:val="BodyText"/>
      </w:pPr>
      <w:r>
        <w:t xml:space="preserve">(۷۰) د. عبد الرزاق أحمد السنهوري. الوسيط في شرح القانون المدني . ج ۱۰ . المصدر نفسه. ص ٣٣٤.</w:t>
      </w:r>
    </w:p>
    <w:p>
      <w:pPr>
        <w:pStyle w:val="BodyText"/>
      </w:pPr>
      <w:r>
        <w:t xml:space="preserve">(۷۱) نصت المادة (۲۸) من قانون رهن الأموال المنقولة الاتحادي الإماراتي رقم (۲۰) لسنة (٢٠١٦) على أن (للمرتهن في حالة إخلال الراهن أو المضمون عنه بالالتزامات المترتبة عليه بموجب عقد الرهن التنفيذ على محل الرهن عن طريق استيفاء حقه من محل الرهن مباشرة من دون اللجوء لأي إجراءات قضائية في أي من الحالات الآتية : ١ - إذا كان محل الرهن حسابات دائنة لدى البنوك فيتم تحصيلها مع النفقات عن طريق إجراء المقاصة إذا كان المرتهن هو البنك الذي يحتفظ بذلك الحساب، وتتم المطالبة بمحل الرهن إذا كان الحساب لدى بنك آخر ٢- إذا كان محل الرهن سندات أو وثائق خطية قابلة لنقل الملكية عن طريق التسليم أو التظهير فيتم التنفيذ عن طريق تسليمها أو تظهيرها إذا كانت قيمتها مساوية لحق الرهن ٣- إذا كان محل الرهن أوراقاً قابلة للتظهير أو التسليم وتتعلق ببضائع فيتم التنفيذ عليها وفقاً للمادة (۲۹) من هذا القانون ما لم تكن البضائع مساوية لحق الرهن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محل الرهن وذلك لنقل الحساب إلى الحساب البنكي الخاص بالمرتهن أو لتمكينه من حيازة الحساب أو السندات أو الوثائق حسب الأحوال ٥- يجوز في عقد الرهن أو في اتفاق خطي مستقل بين المرتهن والراهن الاتفاق على تنازل الراهن مسبقًا عن حق إخطاراه بإجراءات التنفيذ على محل الرهن الذي يتم وفق أحكام هذه المادة).</w:t>
      </w:r>
    </w:p>
    <w:p>
      <w:pPr>
        <w:pStyle w:val="BodyText"/>
      </w:pPr>
      <w:r>
        <w:t xml:space="preserve">(72) Daniel F. Hinkel. op. Cit. P.288.</w:t>
      </w:r>
    </w:p>
    <w:p>
      <w:pPr>
        <w:pStyle w:val="BodyText"/>
      </w:pPr>
      <w:r>
        <w:t xml:space="preserve">433</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27</w:t>
      </w:r>
    </w:p>
    <w:p>
      <w:r>
        <w:pict>
          <v:rect style="width:0;height:1.5pt" o:hralign="center" o:hrstd="t" o:hr="t"/>
        </w:pict>
      </w:r>
    </w:p>
    <w:p>
      <w:pPr>
        <w:pStyle w:val="FirstParagraph"/>
      </w:pPr>
      <w:r>
        <w:t xml:space="preserve">Journal Sharia and Law, Vol. 2022, No. 91 [2022], Art. 7</w:t>
      </w:r>
    </w:p>
    <w:bookmarkEnd w:id="78"/>
    <w:bookmarkEnd w:id="79"/>
    <w:bookmarkEnd w:id="80"/>
    <w:bookmarkStart w:id="85" w:name="X9cb608e5477a83cc7fc965080b4aba2b64dccb5"/>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84" w:name="المطلب-الأول-2"/>
    <w:p>
      <w:pPr>
        <w:pStyle w:val="Heading2"/>
      </w:pPr>
      <w:r>
        <w:t xml:space="preserve">المطلب الأول</w:t>
      </w:r>
    </w:p>
    <w:bookmarkStart w:id="81" w:name="X57e23233bf1ebd75e014563762c306e55df8b1b"/>
    <w:p>
      <w:pPr>
        <w:pStyle w:val="Heading3"/>
      </w:pPr>
      <w:r>
        <w:t xml:space="preserve">الآثار القانونية المترتبة على غلق الرهن في القانون الإنجليزي</w:t>
      </w:r>
    </w:p>
    <w:p>
      <w:pPr>
        <w:pStyle w:val="FirstParagraph"/>
      </w:pPr>
      <w: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(Revival of Equity of Redemption)(٧٣)، الذي يضمن استعادة المدين الراهن لحقه (٧٤) ، وإمكانية إبطال غلق الرهن وعلى النحو الآتي:</w:t>
      </w:r>
    </w:p>
    <w:bookmarkEnd w:id="81"/>
    <w:bookmarkStart w:id="83" w:name="الفرع-الأول-1"/>
    <w:p>
      <w:pPr>
        <w:pStyle w:val="Heading3"/>
      </w:pPr>
      <w:r>
        <w:t xml:space="preserve">الفرع الأول</w:t>
      </w:r>
    </w:p>
    <w:bookmarkStart w:id="82" w:name="X7753bedef186d8410c4ae49d53dbc2ca4d8298c"/>
    <w:p>
      <w:pPr>
        <w:pStyle w:val="Heading4"/>
      </w:pPr>
      <w:r>
        <w:t xml:space="preserve">انقضاء حق الرهن وانتقال ملكية العقار المرهون إلى الدائن المرتهن</w:t>
      </w:r>
    </w:p>
    <w:p>
      <w:pPr>
        <w:pStyle w:val="FirstParagraph"/>
      </w:pPr>
      <w: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 (Mortgaged Property) إلى الدائن المرتهن (٧٥) ، خالصةً من أية حقوق للمدين</w:t>
      </w:r>
    </w:p>
    <w:p>
      <w:r>
        <w:pict>
          <v:rect style="width:0;height:1.5pt" o:hralign="center" o:hrstd="t" o:hr="t"/>
        </w:pict>
      </w:r>
    </w:p>
    <w:p>
      <w:pPr>
        <w:pStyle w:val="FirstParagraph"/>
      </w:pPr>
      <w:r>
        <w:t xml:space="preserve">(73) E. H Burn and J. Cartwright. Cheshire and Burn's Modern law of Real Property. Eighteenth Edition. Oxford University Press. 2011.P.864.</w:t>
      </w:r>
    </w:p>
    <w:p>
      <w:pPr>
        <w:pStyle w:val="BodyText"/>
      </w:pPr>
      <w:r>
        <w:t xml:space="preserve">(74) Elizabeth Cooke. Modern Studies in Property Law. Volume 4. HART Publishing. 2007. P.83.</w:t>
      </w:r>
    </w:p>
    <w:p>
      <w:pPr>
        <w:pStyle w:val="BodyText"/>
      </w:pPr>
      <w:r>
        <w:t xml:space="preserve">(75) John wilman, Brown: GCSE Law, Nineth Edition, Thomson, Sweet and Maxwell, 2005, P.287.</w:t>
      </w:r>
    </w:p>
    <w:p>
      <w:pPr>
        <w:pStyle w:val="BodyText"/>
      </w:pPr>
      <w:r>
        <w:t xml:space="preserve">[السنة السادسة والثلاثون - مجلة جامعة الإمارات ] 434</w:t>
      </w:r>
    </w:p>
    <w:p>
      <w:pPr>
        <w:pStyle w:val="BodyText"/>
      </w:pPr>
      <w:r>
        <w:t xml:space="preserve">https://scholarworks.uaeu.ac.ae/sharia_and_law/vol2022/iss91/7</w:t>
      </w:r>
    </w:p>
    <w:p>
      <w:pPr>
        <w:pStyle w:val="BodyText"/>
      </w:pPr>
      <w:r>
        <w:t xml:space="preserve">28</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الراهن. ولعل انتقال الملكية بشكل كامل إلى الدائن المرتهن هو الأثر الأبرز من الآثار القانونية المترتبة على غلق الرهن (٧٦).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 (The Law of Property Act 1925) التي نصت على أنه ( إذا حصل أي دائن مرتهن على أمر مطلق بغلق الرهن، فإن ذلك الأمر يترتب عليه انتقال حق الملكية إلى الدائن المرتهن (مع مراعاة أي رهن قانوني تكون له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(۷۸).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(Wayne v Hanman &amp; Others 1851) التي تتلخص وقائعها (۷۹) في</w:t>
      </w:r>
    </w:p>
    <w:p>
      <w:pPr>
        <w:pStyle w:val="BodyText"/>
      </w:pPr>
      <w:r>
        <w:t xml:space="preserve">(76) Michael Bridge. Personal Property Law. Fourth Edition. Oxford University Press. 2015. P.297.</w:t>
      </w:r>
    </w:p>
    <w:p>
      <w:pPr>
        <w:pStyle w:val="BodyText"/>
      </w:pPr>
      <w:r>
        <w:t xml:space="preserve">(77) Martin Dixon. Principles of Land Law. Fourth Edition. Cavendish Publishing Limited. London. 2002. P.381.</w:t>
      </w:r>
    </w:p>
    <w:p>
      <w:pPr>
        <w:pStyle w:val="BodyText"/>
      </w:pPr>
      <w: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pStyle w:val="BodyText"/>
      </w:pPr>
      <w:r>
        <w:t xml:space="preserve">(79) Edmund H. Bennett &amp; Chauncey Smith, EsQrs. English Report in Law and Equity.</w:t>
      </w:r>
    </w:p>
    <w:p>
      <w:pPr>
        <w:pStyle w:val="BodyText"/>
      </w:pPr>
      <w:r>
        <w:t xml:space="preserve">435</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29</w:t>
      </w:r>
    </w:p>
    <w:p>
      <w:r>
        <w:pict>
          <v:rect style="width:0;height:1.5pt" o:hralign="center" o:hrstd="t" o:hr="t"/>
        </w:pict>
      </w:r>
    </w:p>
    <w:p>
      <w:pPr>
        <w:pStyle w:val="FirstParagraph"/>
      </w:pPr>
      <w:r>
        <w:t xml:space="preserve">Journal Sharia and Law, Vol. 2022, No. 91 [2022], Art. 7</w:t>
      </w:r>
    </w:p>
    <w:bookmarkEnd w:id="82"/>
    <w:bookmarkEnd w:id="83"/>
    <w:bookmarkEnd w:id="84"/>
    <w:bookmarkEnd w:id="85"/>
    <w:bookmarkStart w:id="92" w:name="Xf4d5c5aff1677f38e3aafee58c50a79eb90d9aa"/>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قيام المدين الراهن برهن الفوائد المؤجلة (Reversionary Interest) لدى الدائن المرتهن، وعند</w:t>
      </w:r>
      <w:r>
        <w:t xml:space="preserve"> </w:t>
      </w:r>
      <w:r>
        <w:t xml:space="preserve">تخلف المدين الراهن عن الوفاء بالدين المضمون بالرهن، أقام المدعون وهم الممثلون الشخصيون</w:t>
      </w:r>
      <w:r>
        <w:t xml:space="preserve"> </w:t>
      </w:r>
      <w:r>
        <w:t xml:space="preserve">(Personal Representatives) للدائن المرتهن في الدعوى، وطلبوا من المحكمة إصدار أمر يلزم</w:t>
      </w:r>
      <w:r>
        <w:t xml:space="preserve"> </w:t>
      </w:r>
      <w:r>
        <w:t xml:space="preserve">المدين الراهن بالوفاء بالدين المضمون بالرهن (Payment of the Mortgage Debt) أو بمواجهة</w:t>
      </w:r>
      <w:r>
        <w:t xml:space="preserve"> </w:t>
      </w:r>
      <w:r>
        <w:t xml:space="preserve">غلق الرهن (Foreclosure). فأصدرت المحكمة حكماً يقضي بإصدار أمر بالوفاء بالدين أو ببيع</w:t>
      </w:r>
      <w:r>
        <w:t xml:space="preserve"> </w:t>
      </w:r>
      <w:r>
        <w:t xml:space="preserve">المال المرهون بالتفضيل على غلق الرهن، وجاء في حكم المحكمة بأن الوفاء بالدين أو بيع المال</w:t>
      </w:r>
      <w:r>
        <w:t xml:space="preserve"> </w:t>
      </w:r>
      <w:r>
        <w:t xml:space="preserve">المرهون هما الأسلوب الملائم، ولا سيما إذا كان المال المرهون هو الفوائد المؤجلة المفروضة على</w:t>
      </w:r>
      <w:r>
        <w:t xml:space="preserve"> </w:t>
      </w:r>
      <w:r>
        <w:t xml:space="preserve">الأسهم (Reversionary Interest in Stock). فاستأنف المدعون الحكم وطلبوا إصدار أمر يقضي</w:t>
      </w:r>
      <w:r>
        <w:t xml:space="preserve"> </w:t>
      </w:r>
      <w:r>
        <w:t xml:space="preserve">بغلق الرهن (Decree of Foreclosure)، واستندوا إلى السابقة القضائية (Slade v. Rigg) 3</w:t>
      </w:r>
      <w:r>
        <w:t xml:space="preserve"> </w:t>
      </w:r>
      <w:r>
        <w:t xml:space="preserve">,Hare 35. فأصرت المحكمة في حكمها على أن الأسلوب الأمثل هو إما الوفاء بالدين أو بيع</w:t>
      </w:r>
      <w:r>
        <w:t xml:space="preserve"> </w:t>
      </w:r>
      <w:r>
        <w:t xml:space="preserve">المال المرهون، ولم تؤيد إصدار أمر يقضي بغلق الرهن، لأن الرهن كان ينصب على الفوائد المؤجلة</w:t>
      </w:r>
      <w:r>
        <w:t xml:space="preserve"> </w:t>
      </w:r>
      <w:r>
        <w:t xml:space="preserve">المفروضة على الأسهم (Mortgage of Reversionary Interest in Stock). إلا أن المسألة المهمة</w:t>
      </w:r>
      <w:r>
        <w:t xml:space="preserve"> </w:t>
      </w:r>
      <w:r>
        <w:t xml:space="preserve">التي ذكرتها المحكمة في حكمها، هي وجود اختلاف جوهري بين رهن الفوائد المؤجلة المفروضة</w:t>
      </w:r>
      <w:r>
        <w:t xml:space="preserve"> </w:t>
      </w:r>
      <w:r>
        <w:t xml:space="preserve">على الأسهم وبين الرهن العقاري (Mortgage of Real Estate). وجاء في حكمها بأنه في القضايا</w:t>
      </w:r>
      <w:r>
        <w:t xml:space="preserve"> </w:t>
      </w:r>
      <w:r>
        <w:t xml:space="preserve">المتعلقة بالرهن العقاري فإن المعالجة الأمثل المتاحة للدائن المرتهن هي غلق الرهن، لا بل أنها</w:t>
      </w:r>
      <w:r>
        <w:t xml:space="preserve"> </w:t>
      </w:r>
      <w:r>
        <w:t xml:space="preserve">تكاد تكون المعالجة الوحيدة، بسبب عدم قدرة المحاكم على القيام مباشرة ببيع العقار، في الوقت</w:t>
      </w:r>
      <w:r>
        <w:t xml:space="preserve"> </w:t>
      </w:r>
      <w:r>
        <w:t xml:space="preserve">الذي يمكن فيه للمحكمة أن تقوم بالبيع المباشر للمنقولات أو الأسهم المرهونة (Mortgage of</w:t>
      </w:r>
      <w:r>
        <w:t xml:space="preserve"> </w:t>
      </w:r>
      <w:r>
        <w:t xml:space="preserve">Stock and Chattels). إلا أنه جرت العادة لدى المحاكم الإنجليزية على عدم إصدار الأمر بغلق</w:t>
      </w:r>
      <w:r>
        <w:t xml:space="preserve"> </w:t>
      </w:r>
      <w:r>
        <w:t xml:space="preserve">الرهن، قبل الطلب من الدائن المرتهن توجيه إخطار للمدين الراهن. ويمكن للدائن المرتهن أن</w:t>
      </w:r>
      <w:r>
        <w:t xml:space="preserve"> </w:t>
      </w:r>
      <w:r>
        <w:t xml:space="preserve">يتوقف عن متابعة إجراءات دعوى غلق الرهن، إذا ما بدأ المدين الراهن بالوفاء بالدين المضمون</w:t>
      </w:r>
    </w:p>
    <w:p>
      <w:pPr>
        <w:pStyle w:val="BodyText"/>
      </w:pPr>
      <w:r>
        <w:t xml:space="preserve">Containing reports of Cases in the House of lords, Privy Council, Courts of Equity and</w:t>
      </w:r>
      <w:r>
        <w:t xml:space="preserve"> </w:t>
      </w:r>
      <w:r>
        <w:t xml:space="preserve">Common Law. And in the Admiralty and Ecclesiastical Courts, Included Also Cases in</w:t>
      </w:r>
      <w:r>
        <w:t xml:space="preserve"> </w:t>
      </w:r>
      <w:r>
        <w:t xml:space="preserve">Bankruptcy and Crown cases Reserved. Volume 3, CHARLES C, LITTLE AND JAMES</w:t>
      </w:r>
      <w:r>
        <w:t xml:space="preserve"> </w:t>
      </w:r>
      <w:r>
        <w:t xml:space="preserve">BROWN. 1851. P.147.</w:t>
      </w:r>
    </w:p>
    <w:p>
      <w:pPr>
        <w:pStyle w:val="BodyText"/>
      </w:pPr>
      <w:r>
        <w:t xml:space="preserve">436 السنة السادسة والثلاثون - مجلة جامعة الإمارات ]</w:t>
      </w:r>
    </w:p>
    <w:p>
      <w:pPr>
        <w:pStyle w:val="BodyText"/>
      </w:pPr>
      <w:r>
        <w:t xml:space="preserve">https://scholarworks.uaeu.ac.ae/sharia_and_law/vol2022/iss91/7</w:t>
      </w:r>
    </w:p>
    <w:p>
      <w:pPr>
        <w:pStyle w:val="BodyText"/>
      </w:pPr>
      <w:r>
        <w:t xml:space="preserve">30</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 (۸۰) ، انقضى حقه في المال المرهون، بعد أن يطلب الدائن المرتهن من المحكمة إنهاء الحق الإنصافي في فك الرهن (Equitable Right to Redeem) نهائياً (۸۱)، لكي يتلافى تعرضه للخسارة(۸۲). 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Absolute)(۸۳)،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v Hegerty 850 QB.1985) التي تتلخص وقائعها (٨٤) 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pPr>
        <w:pStyle w:val="BodyText"/>
      </w:pPr>
      <w:r>
        <w:t xml:space="preserve">(80) Martin Dixon. Modern Land Law. seventh Edition. Routledge Taylor &amp; Francis Group. London and New York. 2010 P.422.</w:t>
      </w:r>
    </w:p>
    <w:p>
      <w:pPr>
        <w:pStyle w:val="BodyText"/>
      </w:pPr>
      <w:r>
        <w:t xml:space="preserve">(81) Rojer J. Smith. Property Law: Cases and Materials. Fifth Edition. Pearson Education Limited. Essex England. 2012. P.765.</w:t>
      </w:r>
    </w:p>
    <w:p>
      <w:pPr>
        <w:pStyle w:val="BodyText"/>
      </w:pPr>
      <w:r>
        <w:t xml:space="preserve">(82) Lynn T. Slossberg. The Essentials of Real Estate Law. Third Edition. CENGAGE Learning. 2015. P.597.</w:t>
      </w:r>
    </w:p>
    <w:p>
      <w:pPr>
        <w:pStyle w:val="BodyText"/>
      </w:pPr>
      <w:r>
        <w:t xml:space="preserve">(83) Douglas Wood. op. Cit. P.137.</w:t>
      </w:r>
    </w:p>
    <w:p>
      <w:pPr>
        <w:pStyle w:val="BodyText"/>
      </w:pPr>
      <w:r>
        <w:t xml:space="preserve">(٨٤) لمزيد من التفصيل حول القضية ينظر الموقع الإلكتروني:</w:t>
      </w:r>
    </w:p>
    <w:p>
      <w:pPr>
        <w:pStyle w:val="BodyText"/>
      </w:pPr>
      <w:r>
        <w:t xml:space="preserve">https://swarb.co.uk/first-national-securities-v-hegerty-ca-1984/</w:t>
      </w:r>
    </w:p>
    <w:p>
      <w:pPr>
        <w:pStyle w:val="BodyText"/>
      </w:pPr>
      <w:r>
        <w:t xml:space="preserve">437</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31</w:t>
      </w:r>
    </w:p>
    <w:p>
      <w:r>
        <w:pict>
          <v:rect style="width:0;height:1.5pt" o:hralign="center" o:hrstd="t" o:hr="t"/>
        </w:pict>
      </w:r>
    </w:p>
    <w:p>
      <w:pPr>
        <w:pStyle w:val="FirstParagraph"/>
      </w:pPr>
      <w:r>
        <w:t xml:space="preserve">Journal Sharia and Law, Vol. 2022, No. 91 [2022], Art. 7</w:t>
      </w:r>
    </w:p>
    <w:bookmarkStart w:id="86" w:name="X44b87eb1cf9e0dc701e770d7fe76195be30b250"/>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 (٨٥).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بالدین (Covenant to Repay) الناشيء عن عقد الرهن.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 (٨٦).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 (۸۷)،</w:t>
      </w:r>
    </w:p>
    <w:p>
      <w:pPr>
        <w:pStyle w:val="BodyText"/>
      </w:pPr>
      <w:r>
        <w:t xml:space="preserve">(85) Chris Davies. op. Cit. P.112.</w:t>
      </w:r>
    </w:p>
    <w:p>
      <w:pPr>
        <w:pStyle w:val="BodyText"/>
      </w:pPr>
      <w:r>
        <w:t xml:space="preserve">(86) Diane Chappelle. op. Cit. P.364.</w:t>
      </w:r>
    </w:p>
    <w:p>
      <w:pPr>
        <w:pStyle w:val="BodyText"/>
      </w:pPr>
      <w: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pPr>
        <w:pStyle w:val="BodyText"/>
      </w:pPr>
      <w:r>
        <w:t xml:space="preserve">السنة السادسة والثلاثون - مجلة جامعة الإمارات ]</w:t>
      </w:r>
    </w:p>
    <w:p>
      <w:pPr>
        <w:pStyle w:val="BodyText"/>
      </w:pPr>
      <w:r>
        <w:t xml:space="preserve">438</w:t>
      </w:r>
    </w:p>
    <w:p>
      <w:pPr>
        <w:pStyle w:val="BodyText"/>
      </w:pPr>
      <w:r>
        <w:t xml:space="preserve">https://scholarworks.uaeu.ac.ae/sharia_and_law/vol2022/iss91/7</w:t>
      </w:r>
    </w:p>
    <w:p>
      <w:pPr>
        <w:pStyle w:val="BodyText"/>
      </w:pPr>
      <w:r>
        <w:t xml:space="preserve">32</w:t>
      </w:r>
    </w:p>
    <w:p>
      <w:r>
        <w:pict>
          <v:rect style="width:0;height:1.5pt" o:hralign="center" o:hrstd="t" o:hr="t"/>
        </w:pict>
      </w:r>
    </w:p>
    <w:p>
      <w:pPr>
        <w:pStyle w:val="FirstParagraph"/>
      </w:pPr>
      <w:r>
        <w:t xml:space="preserve">Ali: ??? ????? ?? ??????? ????????? ????? ??????? ?????? ?????? ???????? ???????? ???????</w:t>
      </w:r>
      <w:r>
        <w:br/>
      </w:r>
      <w:r>
        <w:t xml:space="preserve">[د.يونس صلاح الدين علي]</w:t>
      </w:r>
    </w:p>
    <w:p>
      <w:pPr>
        <w:pStyle w:val="BodyText"/>
      </w:pPr>
      <w:r>
        <w:t xml:space="preserve">أو تعمده عدم الوفاء بها. كالتهرب من دفع الضرائب المترتبة على العقار المرهون، أو عدم التأمين</w:t>
      </w:r>
      <w:r>
        <w:t xml:space="preserve"> </w:t>
      </w:r>
      <w:r>
        <w:t xml:space="preserve">على العقار، أو عدم إصلاحه وصيانته والمحافظة عليه في حالة جيدة (Failure to Keep the</w:t>
      </w:r>
      <w:r>
        <w:t xml:space="preserve"> </w:t>
      </w:r>
      <w:r>
        <w:t xml:space="preserve">Property in Good Repair). أو تعمده بيع العقار المرهون من دون إذن أو موافقة من الدائن</w:t>
      </w:r>
      <w:r>
        <w:t xml:space="preserve"> </w:t>
      </w:r>
      <w:r>
        <w:t xml:space="preserve">المرتهن. فالإخلال بأي التزام من هذه الالتزامات الجوهرية الناشئة عن عقد الرهن (Breach of</w:t>
      </w:r>
      <w:r>
        <w:t xml:space="preserve"> </w:t>
      </w:r>
      <w:r>
        <w:t xml:space="preserve">any Mortgage Covenant)، والمترتبة على عاتق المدين الراهن يعطي الحق للدائن المرتهن في</w:t>
      </w:r>
      <w:r>
        <w:t xml:space="preserve"> </w:t>
      </w:r>
      <w:r>
        <w:t xml:space="preserve">طلب غلق الرهن كجزاء ومعالجة لذلك الإخلال (۸۸). ويتشابه موقف القانون الإنجليزي من</w:t>
      </w:r>
      <w:r>
        <w:t xml:space="preserve"> </w:t>
      </w:r>
      <w:r>
        <w:t xml:space="preserve">هذه الناحية مع موقف الفقرة الثانية من المادة (١٠٥٢) من القانون المدني المصري، وكذلك</w:t>
      </w:r>
      <w:r>
        <w:t xml:space="preserve"> </w:t>
      </w:r>
      <w:r>
        <w:t xml:space="preserve">الفقرة الثانية من المادة (١٧٦) من قانون المعاملات التجارية الاتحادي الإماراتي رقم (١٨) لسنة</w:t>
      </w:r>
      <w:r>
        <w:t xml:space="preserve"> </w:t>
      </w:r>
      <w:r>
        <w:t xml:space="preserve">۱۹۹۳، والمادتين (۲۷) و (۲۸) من قانون رهن الأموال المنقولة الاتحادي الإماراتي رقم (٢٠)</w:t>
      </w:r>
      <w:r>
        <w:t xml:space="preserve"> </w:t>
      </w:r>
      <w:r>
        <w:t xml:space="preserve">لسنة ٢٠١٦ التي أجازت غلق الرهن.</w:t>
      </w:r>
    </w:p>
    <w:bookmarkEnd w:id="86"/>
    <w:bookmarkStart w:id="88" w:name="الفرع-الثاني-1"/>
    <w:p>
      <w:pPr>
        <w:pStyle w:val="Heading2"/>
      </w:pPr>
      <w:r>
        <w:t xml:space="preserve">الفرع الثاني</w:t>
      </w:r>
    </w:p>
    <w:bookmarkStart w:id="87" w:name="X095591a33d218acf3eb04c4392ec920fdc9eab9"/>
    <w:p>
      <w:pPr>
        <w:pStyle w:val="Heading3"/>
      </w:pPr>
      <w:r>
        <w:t xml:space="preserve">عدم تأثر حقوق باقي الدائنين المرتهنين الناشئة قبل الرهن الذي جرى إغلاقه</w:t>
      </w:r>
    </w:p>
    <w:p>
      <w:pPr>
        <w:pStyle w:val="FirstParagraph"/>
      </w:pPr>
      <w:r>
        <w:t xml:space="preserve">إذا أفلح الدائن المرتهن في دعواه لغلق الرهن، وأصدرت له المحكمة أمراً بغلق الرهن،</w:t>
      </w:r>
      <w:r>
        <w:t xml:space="preserve"> </w:t>
      </w:r>
      <w:r>
        <w:t xml:space="preserve">فإن ذلك سوف تترتب عليه آثار قانونية بالنسبة إلى الدائنين المرتهنين الآخرين الذين أقرضوا</w:t>
      </w:r>
      <w:r>
        <w:t xml:space="preserve"> </w:t>
      </w:r>
      <w:r>
        <w:t xml:space="preserve">المدين الراهن. إلا أنه ينبغي أن نفرق بين حالتين: الأولى هي أن تكون حقوق الدائنين المرتهنين</w:t>
      </w:r>
      <w:r>
        <w:t xml:space="preserve"> </w:t>
      </w:r>
      <w:r>
        <w:t xml:space="preserve">بمقتضى رهون ناشئة قبل الرهن الذي صدر بشأنه أمر الغلق. والثانية أن تكون حقوق الدائنين</w:t>
      </w:r>
      <w:r>
        <w:t xml:space="preserve"> </w:t>
      </w:r>
      <w:r>
        <w:t xml:space="preserve">المرتهنين بمقتضى رهون ناشئة بعد الرهن الذي صدر بشأنه أمر الغلق (۸۹). فإذا كانت حقوق</w:t>
      </w:r>
      <w:r>
        <w:t xml:space="preserve"> </w:t>
      </w:r>
      <w:r>
        <w:t xml:space="preserve">الدائنين المرتهنين تقررت بمقتضى رهون نشأت قبل الرهن الذي صدر بشأنه أمر الغلق، ففي</w:t>
      </w:r>
      <w:r>
        <w:t xml:space="preserve"> </w:t>
      </w:r>
      <w:r>
        <w:t xml:space="preserve">هذه الحالة لا تتأثر تلك الحقوق بغلق الرهن. وتنتقل ملكية العقار المرهون إلى الدائن المرتهن</w:t>
      </w:r>
      <w:r>
        <w:t xml:space="preserve"> </w:t>
      </w:r>
      <w:r>
        <w:t xml:space="preserve">أو أي شخص آخر بعده مثقلة بتلك الحقوق. أما إذا كانت حقوق الدائنين المرتهنين تقررت</w:t>
      </w:r>
    </w:p>
    <w:p>
      <w:r>
        <w:pict>
          <v:rect style="width:0;height:1.5pt" o:hralign="center" o:hrstd="t" o:hr="t"/>
        </w:pict>
      </w:r>
    </w:p>
    <w:p>
      <w:pPr>
        <w:pStyle w:val="FirstParagraph"/>
      </w:pPr>
      <w:r>
        <w:t xml:space="preserve">(88) Daniel F. Hinkel. op. Cit. P.288.</w:t>
      </w:r>
    </w:p>
    <w:p>
      <w:pPr>
        <w:pStyle w:val="BodyText"/>
      </w:pPr>
      <w:r>
        <w:t xml:space="preserve">(89) Martin Dixon. Modern Land Law. Seventh Edition. Routledge Taylor &amp; Francis Group.</w:t>
      </w:r>
      <w:r>
        <w:br/>
      </w:r>
      <w:r>
        <w:t xml:space="preserve">London and New York. 2010. P.422.</w:t>
      </w:r>
    </w:p>
    <w:p>
      <w:pPr>
        <w:pStyle w:val="BodyText"/>
      </w:pPr>
      <w:r>
        <w:t xml:space="preserve">439</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33</w:t>
      </w:r>
    </w:p>
    <w:p>
      <w:r>
        <w:pict>
          <v:rect style="width:0;height:1.5pt" o:hralign="center" o:hrstd="t" o:hr="t"/>
        </w:pict>
      </w:r>
    </w:p>
    <w:p>
      <w:pPr>
        <w:pStyle w:val="FirstParagraph"/>
      </w:pPr>
      <w:r>
        <w:t xml:space="preserve">Journal Sharia and Law, Vol. 2022, No. 91 [2022], Art. 7</w:t>
      </w:r>
    </w:p>
    <w:bookmarkEnd w:id="87"/>
    <w:bookmarkEnd w:id="88"/>
    <w:bookmarkStart w:id="91" w:name="X156803a123da25bb3daca572f031f5929f26f3a"/>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 (Subsequent Mortgagees).(۹۰)</w:t>
      </w:r>
    </w:p>
    <w:bookmarkStart w:id="89" w:name="الفرع-الثالث"/>
    <w:p>
      <w:pPr>
        <w:pStyle w:val="Heading3"/>
      </w:pPr>
      <w:r>
        <w:t xml:space="preserve">الفرع الثالث</w:t>
      </w:r>
    </w:p>
    <w:bookmarkEnd w:id="89"/>
    <w:bookmarkStart w:id="90" w:name="X3e5376c1dca988141d6b708314e61ed5af7887d"/>
    <w:p>
      <w:pPr>
        <w:pStyle w:val="Heading3"/>
      </w:pPr>
      <w:r>
        <w:t xml:space="preserve">السلطة التقديرية للمحكمة في بيع العقار المرهون بدلاً عن غلق الرهن</w:t>
      </w:r>
    </w:p>
    <w:p>
      <w:pPr>
        <w:pStyle w:val="FirstParagraph"/>
      </w:pPr>
      <w:r>
        <w:t xml:space="preserve">تتمتع المحكمة بسلطة تقديرية بمقتضى الفقرة الثانية من المادة (۹۱) تشريع قانون الملكية لعام ١٩٢٥ (The Law of Property Act 1925)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 (۹۱). ويرى جانب من الفقه</w:t>
      </w:r>
    </w:p>
    <w:p>
      <w:r>
        <w:pict>
          <v:rect style="width:0;height:1.5pt" o:hralign="center" o:hrstd="t" o:hr="t"/>
        </w:pict>
      </w:r>
    </w:p>
    <w:p>
      <w:pPr>
        <w:pStyle w:val="FirstParagraph"/>
      </w:pPr>
      <w:r>
        <w:t xml:space="preserve">(90) Douglas Wood. op. Cit. P.137.</w:t>
      </w:r>
    </w:p>
    <w:p>
      <w:pPr>
        <w:pStyle w:val="BodyText"/>
      </w:pPr>
      <w: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pStyle w:val="BodyText"/>
      </w:pPr>
      <w:r>
        <w:t xml:space="preserve">السنة السادسة والثلاثون - مجلة جامعة الإمارات 440</w:t>
      </w:r>
    </w:p>
    <w:p>
      <w:pPr>
        <w:pStyle w:val="BodyText"/>
      </w:pPr>
      <w:r>
        <w:t xml:space="preserve">https://scholarworks.uaeu.ac.ae/sharia_and_law/vol2022/iss91/7</w:t>
      </w:r>
    </w:p>
    <w:p>
      <w:pPr>
        <w:pStyle w:val="BodyText"/>
      </w:pPr>
      <w:r>
        <w:t xml:space="preserve">34</w:t>
      </w:r>
    </w:p>
    <w:p>
      <w:r>
        <w:pict>
          <v:rect style="width:0;height:1.5pt" o:hralign="center" o:hrstd="t" o:hr="t"/>
        </w:pict>
      </w:r>
    </w:p>
    <w:p>
      <w:pPr>
        <w:pStyle w:val="FirstParagraph"/>
      </w:pPr>
      <w:r>
        <w:t xml:space="preserve">Ali: ??? ????? ?? ??????? ????????? ????? ??????? ?????? ?????? ???????? ???????? ??????? د.يونس صلاح الدين علي]</w:t>
      </w:r>
    </w:p>
    <w:p>
      <w:pPr>
        <w:pStyle w:val="BodyText"/>
      </w:pPr>
      <w:r>
        <w:t xml:space="preserve">الإنجليزي (۹۲)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 ۱۹۲٥ . وهذا يعني أنه إذا كانت قيمة المال المرهون أكبر من قيمة الدين المضمون بالرهن، فإن المبلغ الإضافي أو الزائد يؤول إلى المدين الراهن (۹۳) . 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(330) Palk v Mortgage Services Funding Plc 1993.Ch )التي تتلخص وقائعها (٩٤) في اقتراض الزوجين المدعيين لمبلغ قدره ثلاثمائة ألف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 ( ۲۸۳۰۰۰ ) ألف جنيه. ثم تخصيص مبلغ قدره (٣٥٨٥٨٧)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pPr>
        <w:pStyle w:val="BodyText"/>
      </w:pPr>
      <w:r>
        <w:t xml:space="preserve">(92) Martin Dixon. Principles of Land Law. op. Cit. P.381.</w:t>
      </w:r>
    </w:p>
    <w:p>
      <w:pPr>
        <w:pStyle w:val="BodyText"/>
      </w:pPr>
      <w:r>
        <w:t xml:space="preserve">(93) Martin Dixon. Principles of Land Law. Ibid. P.381.</w:t>
      </w:r>
    </w:p>
    <w:p>
      <w:pPr>
        <w:pStyle w:val="BodyText"/>
      </w:pPr>
      <w:r>
        <w:t xml:space="preserve">(٩٤) لمزيد من التفصيل حول القضية ينظر الموقع الإلكتروني:</w:t>
      </w:r>
    </w:p>
    <w:p>
      <w:pPr>
        <w:pStyle w:val="BodyText"/>
      </w:pPr>
      <w:r>
        <w:t xml:space="preserve">https://www.lawteacher.net/cases/palk-v-mortgage-services.php</w:t>
      </w:r>
    </w:p>
    <w:p>
      <w:pPr>
        <w:pStyle w:val="BodyText"/>
      </w:pPr>
      <w:r>
        <w:t xml:space="preserve">441</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35</w:t>
      </w:r>
    </w:p>
    <w:p>
      <w:r>
        <w:pict>
          <v:rect style="width:0;height:1.5pt" o:hralign="center" o:hrstd="t" o:hr="t"/>
        </w:pict>
      </w:r>
    </w:p>
    <w:p>
      <w:pPr>
        <w:pStyle w:val="FirstParagraph"/>
      </w:pPr>
      <w:r>
        <w:t xml:space="preserve">Journal Sharia and Law, Vol. 2022, No. 91 [2022], Art. 7</w:t>
      </w:r>
    </w:p>
    <w:bookmarkEnd w:id="90"/>
    <w:bookmarkEnd w:id="91"/>
    <w:bookmarkEnd w:id="92"/>
    <w:bookmarkStart w:id="98" w:name="Xaf519f83340ed0a62747ec1f68c91146629acf6"/>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المطروح أمام محكمة الاستئناف هو ما إذا كانت السلطة التقديرية (Discretion) التي تتمتع بها المحكمة بمقتضى الفقرة الثانية من المادة (۹۱) من تشريع قانون الملكية لعام ١٩٢٥ (The law 1925 of property Act) تسمح لها بإصدار أمر ببيع العقار، إذا لم يكن من المتوقع أن يؤدي فك الرهن (Redemption) إلى الوفاء بكامل قيمة الدين المضمون.</w:t>
      </w:r>
    </w:p>
    <w:p>
      <w:pPr>
        <w:pStyle w:val="BodyText"/>
      </w:pPr>
      <w:r>
        <w:t xml:space="preserve">فقضت محكمة الاستئناف لمصلحة الزوجين المستأنفين، وجاء في حكمها أن بإمكان المحكمة ممارسة سلطتها التقديرية لبيع العقار المرهون. وأن ممارسة هذه السلطة بمقتضى الفقرة الثانية من المادة (٩١) من تشريع قانون الملكية لعام ١٩٢٥ لا تتوقف على أي شرط مسبق. وأن عدم إخلال الدائن المرتهن بأي التزام من التزاماته المدين بها تجاه المدين الراهن، يعد أحد الظروف الملابسة التي ينبغي على المحكمة أخذها بنظر الاعتبار.</w:t>
      </w:r>
    </w:p>
    <w:p>
      <w:pPr>
        <w:pStyle w:val="BodyText"/>
      </w:pPr>
      <w:r>
        <w:t xml:space="preserve">وذكرت في حكمها أيضاً أن من العادل والمنصف والمعقول إصدار الأمر ببيع العقار المرهون، لأن السير في خلاف ذلك يؤدي إلى الظلم وعدم العدالة. وذهبت المحكمة الإنجليزية في حكمها الصادر في قضية (Arab Bank plc v Mercantile Holdings Ltd 1994. 2 All ER 74) بأن بإمكان المحكمة أن تصدر أمراً ببيع العقار المرهون، حتى وإن كان حق الدائن المرتهن ثابتاً في ممارسة غلق الرهن (٩٥).</w:t>
      </w:r>
    </w:p>
    <w:p>
      <w:pPr>
        <w:pStyle w:val="BodyText"/>
      </w:pPr>
      <w:r>
        <w:t xml:space="preserve">كما ذهبت المحكمة في حكمها الصادر في قضية (Twentieth Century Banking Corporation Ltd v Wilkinson. ChD 1977) إلى نفس الاتجاه، وقضت بإصدار الأمر ببيع العقار المرهون بدلاً عن إصدار الأمر بغلق الرهن، على الرغم من ثبات حق الدائن المرتهن في ممارسة غلق الرهن.</w:t>
      </w:r>
    </w:p>
    <w:p>
      <w:pPr>
        <w:pStyle w:val="BodyText"/>
      </w:pPr>
      <w:r>
        <w:t xml:space="preserve">وتتلخص وقائع هذه القضية (٩٦) في رهن العقار عام ١٩٧٣، والاتفاق في عقد الرهن على الوفاء بالدين المضمون بالرهن عام ١٩٨٨. إلا أن عقد الرهن لم يتضمن أي بند يقضي ببيع العقار المرهون، في حالة تخلف المدين الراهن عن الوفاء. وبالفعل فقد تخلف المدين الراهن عن الوفاء عند حلول موعد الاستحقاق. فطلب الدائن المرتهن من المحكمة إصدار الأمر الذي يسمح له ببيع العقار</w:t>
      </w:r>
    </w:p>
    <w:p>
      <w:pPr>
        <w:pStyle w:val="BodyText"/>
      </w:pPr>
      <w:r>
        <w:t xml:space="preserve">(95) Diane Chappelle. op. Cit . P.362.</w:t>
      </w:r>
    </w:p>
    <w:p>
      <w:pPr>
        <w:pStyle w:val="BodyText"/>
      </w:pPr>
      <w:r>
        <w:t xml:space="preserve">(٩٦) لمزيد من التفصيل حول القضية ينظر الموقع الإلكتروني: https://swarb.co.uk/twentieth-century-banking-corporation-ltd-v-wilkinson-chd-1977</w:t>
      </w:r>
    </w:p>
    <w:p>
      <w:pPr>
        <w:pStyle w:val="BodyText"/>
      </w:pPr>
      <w:r>
        <w:t xml:space="preserve">السنة السادسة والثلاثون - مجلة جامعة الإمارات ] 442</w:t>
      </w:r>
    </w:p>
    <w:p>
      <w:pPr>
        <w:pStyle w:val="BodyText"/>
      </w:pPr>
      <w:r>
        <w:t xml:space="preserve">https://scholarworks.uaeu.ac.ae/sharia_and_law/vol2022/iss91/7 36</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المرهون بدلاً عن غلق الرهن، بموجب الفقرة الثانية من المادة (۹۱) من تشريع قانون الملكية لعام ١٩٢٥ (The law of property Act 1925).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(۱۹۰۰۰) ألف جنيه. ويختلف موقف القانون الإنجليزي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 ولكن من دون إعطاء المحكمة أية سلطة تقديرية في بيع العقار المرهون بدلاً عن غلق الرهن، وفقاً للفقرة الثانية من المادة (۹۱) تشريع قانون الملكية لعام ١٩٢٥ السالفة الذكر.</w:t>
      </w:r>
    </w:p>
    <w:bookmarkStart w:id="94" w:name="الفرع-الرابع"/>
    <w:p>
      <w:pPr>
        <w:pStyle w:val="Heading2"/>
      </w:pPr>
      <w:r>
        <w:t xml:space="preserve">الفرع الرابع</w:t>
      </w:r>
    </w:p>
    <w:bookmarkStart w:id="93" w:name="Xd0e2e5cbcf27eee591e20f4718715b8a8800f81"/>
    <w:p>
      <w:pPr>
        <w:pStyle w:val="Heading3"/>
      </w:pPr>
      <w:r>
        <w:t xml:space="preserve">إمكانية إعادة النظر في غلق الرهن وإحياء حق فك الرهن الإنصافي</w:t>
      </w:r>
    </w:p>
    <w:p>
      <w:pPr>
        <w:pStyle w:val="FirstParagraph"/>
      </w:pPr>
      <w: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Ownership (Legal estate) to the Mortgagee).</w:t>
      </w:r>
      <w:r>
        <w:rPr>
          <w:vertAlign w:val="superscript"/>
        </w:rPr>
        <w:t xml:space="preserve">۹۷</w:t>
      </w:r>
      <w:r>
        <w:t xml:space="preserve"> </w:t>
      </w:r>
      <w:r>
        <w:t xml:space="preserve">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w:t>
      </w:r>
      <w:r>
        <w:t xml:space="preserve"> </w:t>
      </w:r>
      <w:r>
        <w:rPr>
          <w:vertAlign w:val="superscript"/>
        </w:rPr>
        <w:t xml:space="preserve">(۹۸)</w:t>
      </w:r>
      <w:r>
        <w:t xml:space="preserve"> </w:t>
      </w:r>
      <w:r>
        <w:t xml:space="preserve">في فك الرهن. ومن بين تلك الحالات إقامة</w:t>
      </w:r>
    </w:p>
    <w:p>
      <w:pPr>
        <w:pStyle w:val="BodyText"/>
      </w:pPr>
      <w:r>
        <w:t xml:space="preserve">(97) Richard Card. John Murdoch, Sandi Murdoch. Real Estate Management Law. Seventh Edition. Oxford University Press.2011. P.535.</w:t>
      </w:r>
    </w:p>
    <w:p>
      <w:pPr>
        <w:pStyle w:val="BodyText"/>
      </w:pPr>
      <w:r>
        <w:t xml:space="preserve">(۹۸) يعد الحق الإنصافي (Equitable Right) من الحقوق المستمدة من مبادىء العدالة والإنصاف، وغالباً ما تقضي =</w:t>
      </w:r>
    </w:p>
    <w:p>
      <w:pPr>
        <w:pStyle w:val="BodyText"/>
      </w:pPr>
      <w:r>
        <w:t xml:space="preserve">443</w:t>
      </w:r>
    </w:p>
    <w:p>
      <w:pPr>
        <w:pStyle w:val="BodyText"/>
      </w:pPr>
      <w:r>
        <w:t xml:space="preserve">Published by Scholarworks@UAEU, 2022</w:t>
      </w:r>
    </w:p>
    <w:p>
      <w:pPr>
        <w:pStyle w:val="BodyText"/>
      </w:pPr>
      <w:r>
        <w:t xml:space="preserve">العدد الواحد والتسعون - ذو الحجة 1443 هـ يوليو 2022]</w:t>
      </w:r>
    </w:p>
    <w:p>
      <w:pPr>
        <w:pStyle w:val="BodyText"/>
      </w:pPr>
      <w:r>
        <w:t xml:space="preserve">37</w:t>
      </w:r>
    </w:p>
    <w:p>
      <w:r>
        <w:pict>
          <v:rect style="width:0;height:1.5pt" o:hralign="center" o:hrstd="t" o:hr="t"/>
        </w:pict>
      </w:r>
    </w:p>
    <w:p>
      <w:pPr>
        <w:pStyle w:val="FirstParagraph"/>
      </w:pPr>
      <w:r>
        <w:t xml:space="preserve">Journal Sharia and Law, Vol. 2022, No. 91 [2022], Art. 7</w:t>
      </w:r>
    </w:p>
    <w:bookmarkEnd w:id="93"/>
    <w:bookmarkEnd w:id="94"/>
    <w:bookmarkStart w:id="95" w:name="X3f1f801583fa463f5bdddbeaf220fe64dca09d5"/>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الدائن المرتهن الدعوى للمطالبة بتنفيذ التعهدات الشخصية (Personal Covenants) بعد حصوله على أمر غلق الرهن. كما تتمتع المحكمة بسلطة تقديرية في إعادة النظر في غلق الرهن، إذا ما تبين لها أن ذلك في مصلحة المدين الراهن (Mortgagor). فضلاً عن إمكانية قيام المحكمة بإعادة النظر في غلق الرهن في مواجهة مشتري العقار من الدائن المرتهن (Mortgagee).</w:t>
      </w:r>
    </w:p>
    <w:p>
      <w:pPr>
        <w:pStyle w:val="BodyText"/>
      </w:pPr>
      <w:r>
        <w:t xml:space="preserve">ويذهب رأي في الفقه الإنجليزي</w:t>
      </w:r>
      <w:r>
        <w:t xml:space="preserve"> </w:t>
      </w:r>
      <w:r>
        <w:rPr>
          <w:vertAlign w:val="superscript"/>
        </w:rPr>
        <w:t xml:space="preserve">(۹۹)</w:t>
      </w:r>
      <w:r>
        <w:t xml:space="preserve"> </w:t>
      </w:r>
      <w:r>
        <w:t xml:space="preserve">إلى استحالة وضع قاعدة عامة لإعادة النظر في غلق الرهن، لأن كل شيء يعتمد على الظروف الخاصة والملابسة لكل قضية. ففي قضية (Campbell v Holyland 1877.7 Ch D 166) قررت المحكمة إعادة النظر في أمر غلق الرهن الذي أصدرته للدائن المرتهن، لمطالبته بالمنافع غير المشروعة (Undue profits) التي حصل عليها</w:t>
      </w:r>
    </w:p>
    <w:p>
      <w:pPr>
        <w:pStyle w:val="BodyText"/>
      </w:pPr>
      <w:r>
        <w:t xml:space="preserve">= به محاكم الإنصاف (Courts of Equity) ويدخل ضمن اختصاصها، خلافاً للحق القانوني (legal Right) المستمد من المصادر القانونية المعروفة. ويمكن التمييز بين مبادىء العدالة والإنصاف (Equity) وقانون الأحكام العام (Common law) من حيث إن قانون الأحكام العام هو المنهج القانوني الذي تكون في إنكلترا بجهد قضاة المحاكم الملكية منذ الغزو النورماندي عام ١٠٦٦ . ويمثل مجموعة القواعد القانونية الملزمة، وتشتمل عائلة قانون الأحكام العام على القانون الانجليزي الذي يعتبر هذا القانون أصلاً له. كما تشتمل - مع التحفظ ببعض الاستثناءات - على قوانين جميع البلاد التي تتكلم اللغة الانجليزية، كما كان تأثيره كبيراً في البلاد الأخرى التي كانت أو التي ما زالت ترتبط بروابط سياسية بإنكلترا. أما مبادىء العدالة والإنصاف فهي مجموعة القواعد التي أقرتها وطبقتها محكمة المستشار في القرنين الخامس عشر والسادس عشر، لسد الثغرات في قانون الأحكام العام وإتمام نواقصه وإصلاح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التظيم القضائي في عامي ١٨٧٣ و ١٨٧٥ ، فإن التمييز بينهما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 عبد السلام الترمانيني. مصدر سابق. ص ١٧٧ و ٢٠٣ و ٢٠٤ و ٢٠٨. وينظر أيضاً الموقع الإلكتروني:</w:t>
      </w:r>
    </w:p>
    <w:p>
      <w:pPr>
        <w:pStyle w:val="BodyText"/>
      </w:pPr>
      <w:r>
        <w:t xml:space="preserve">https://en.m.wikipedia.org/wiki/Equitable_right</w:t>
      </w:r>
    </w:p>
    <w:p>
      <w:pPr>
        <w:pStyle w:val="BodyText"/>
      </w:pPr>
      <w:r>
        <w:t xml:space="preserve">(99) E. H Burn and J. Cartwright. op. Cit.P.864.</w:t>
      </w:r>
    </w:p>
    <w:p>
      <w:pPr>
        <w:pStyle w:val="BodyText"/>
      </w:pPr>
      <w:r>
        <w:t xml:space="preserve">444 السنة السادسة والثلاثون - مجلة جامعة الإمارات ]</w:t>
      </w:r>
    </w:p>
    <w:p>
      <w:pPr>
        <w:pStyle w:val="BodyText"/>
      </w:pPr>
      <w:r>
        <w:t xml:space="preserve">https://scholarworks.uaeu.ac.ae/sharia_and_law/vol2022/iss91/7</w:t>
      </w:r>
    </w:p>
    <w:p>
      <w:pPr>
        <w:pStyle w:val="BodyText"/>
      </w:pPr>
      <w:r>
        <w:t xml:space="preserve">38</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من غلق الرهن (١٠٠) .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 (Loan).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 (Mortgage Debt) (۱۰۱) . ويختلف موقف القانون الإنجليزي أيضاً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(۲۰) لسنة ٢٠١٦ التي لم تنص على إمكانية إعادة النظر في غلق الرهن وإحياء حق فك الرهن الإنصافي.</w:t>
      </w:r>
    </w:p>
    <w:bookmarkEnd w:id="95"/>
    <w:bookmarkStart w:id="97" w:name="الفرع-الخامس"/>
    <w:p>
      <w:pPr>
        <w:pStyle w:val="Heading2"/>
      </w:pPr>
      <w:r>
        <w:t xml:space="preserve">الفرع الخامس</w:t>
      </w:r>
    </w:p>
    <w:bookmarkStart w:id="96" w:name="إمكانية-إبطال-غلق-الرهن"/>
    <w:p>
      <w:pPr>
        <w:pStyle w:val="Heading3"/>
      </w:pPr>
      <w:r>
        <w:t xml:space="preserve">إمكانية إبطال غلق الرهن</w:t>
      </w:r>
    </w:p>
    <w:p>
      <w:pPr>
        <w:pStyle w:val="FirstParagraph"/>
      </w:pPr>
      <w:r>
        <w:t xml:space="preserve">يحق للمدين الراهن (Mortgagor) في أي وقت أن يطلب من المحكمة إبطال غلق الرهن، على الرغم من أنه إنهاء لحق فك الرهن الإنصافي (Termination of the Equitable Right to Redeem). وهو ما قررته المحكمة في حكمها الصادر في قضية Campbell v Holyland 1877.7 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 (Undue Profits) التي آلت إليه. وإذا ما تقرر إبطال غلق الرهن فإنه يسري</w:t>
      </w:r>
    </w:p>
    <w:p>
      <w:pPr>
        <w:pStyle w:val="BodyText"/>
      </w:pPr>
      <w:r>
        <w:t xml:space="preserve">(١٠٠) لمزيد من التفصيل حول الموضوع ينظر الموقع الإلكتروني :</w:t>
      </w:r>
    </w:p>
    <w:p>
      <w:pPr>
        <w:pStyle w:val="BodyText"/>
      </w:pPr>
      <w:r>
        <w:t xml:space="preserve">https://quizlet.com/12183004/mortgages-flash-cards/</w:t>
      </w:r>
    </w:p>
    <w:p>
      <w:pPr>
        <w:pStyle w:val="BodyText"/>
      </w:pPr>
      <w:r>
        <w:t xml:space="preserve">(101) E. H Burn and J. Cartwright. op. Cit .P.865.</w:t>
      </w:r>
    </w:p>
    <w:p>
      <w:r>
        <w:pict>
          <v:rect style="width:0;height:1.5pt" o:hralign="center" o:hrstd="t" o:hr="t"/>
        </w:pict>
      </w:r>
    </w:p>
    <w:p>
      <w:pPr>
        <w:pStyle w:val="FirstParagraph"/>
      </w:pPr>
      <w:r>
        <w:t xml:space="preserve">445</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39</w:t>
      </w:r>
    </w:p>
    <w:p>
      <w:r>
        <w:pict>
          <v:rect style="width:0;height:1.5pt" o:hralign="center" o:hrstd="t" o:hr="t"/>
        </w:pict>
      </w:r>
    </w:p>
    <w:p>
      <w:pPr>
        <w:pStyle w:val="FirstParagraph"/>
      </w:pPr>
      <w:r>
        <w:t xml:space="preserve">Journal Sharia and Law, Vol. 2022, No. 91 [2022], Art. 7</w:t>
      </w:r>
    </w:p>
    <w:bookmarkEnd w:id="96"/>
    <w:bookmarkEnd w:id="97"/>
    <w:bookmarkEnd w:id="98"/>
    <w:bookmarkStart w:id="111" w:name="X2bfe2aa31128df96734b0b618ad9e1b08fdaf2c"/>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 (۱۰۲). وفي هذه الحالة لا يمكن للمحكمة إعادة النظر في غلق الرهن، تلبية لطلب الدائن المرتهن في إعادة فك الرهن (١٠٣).</w:t>
      </w:r>
    </w:p>
    <w:bookmarkStart w:id="102" w:name="المطلب-الثاني-2"/>
    <w:p>
      <w:pPr>
        <w:pStyle w:val="Heading2"/>
      </w:pPr>
      <w:r>
        <w:t xml:space="preserve">المطلب الثاني</w:t>
      </w:r>
    </w:p>
    <w:bookmarkStart w:id="99" w:name="Xde814e98972ca5b255687f2bd2960e7bf744bbb"/>
    <w:p>
      <w:pPr>
        <w:pStyle w:val="Heading3"/>
      </w:pPr>
      <w:r>
        <w:t xml:space="preserve">الآثار المترتبة على غلق الرهن في القانونين العراقي والإماراتي</w:t>
      </w:r>
    </w:p>
    <w:p>
      <w:pPr>
        <w:pStyle w:val="FirstParagraph"/>
      </w:pPr>
      <w: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End w:id="99"/>
    <w:bookmarkStart w:id="100" w:name="الفرع-الأول-2"/>
    <w:p>
      <w:pPr>
        <w:pStyle w:val="Heading3"/>
      </w:pPr>
      <w:r>
        <w:t xml:space="preserve">الفرع الأول</w:t>
      </w:r>
    </w:p>
    <w:bookmarkEnd w:id="100"/>
    <w:bookmarkStart w:id="101" w:name="X9f79d92583b53b910e974d7e7812ccc18e762c3"/>
    <w:p>
      <w:pPr>
        <w:pStyle w:val="Heading3"/>
      </w:pPr>
      <w:r>
        <w:t xml:space="preserve">بطلان شرط غلق الرهن وبقاء عقد الرهن صحيحاً</w:t>
      </w:r>
    </w:p>
    <w:p>
      <w:pPr>
        <w:pStyle w:val="FirstParagraph"/>
      </w:pPr>
      <w: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إذ نصت الفقرة الأولى من المادة (۱۳۱) من القانون المدني العراقي على أنه</w:t>
      </w:r>
    </w:p>
    <w:p>
      <w:r>
        <w:pict>
          <v:rect style="width:0;height:1.5pt" o:hralign="center" o:hrstd="t" o:hr="t"/>
        </w:pict>
      </w:r>
    </w:p>
    <w:p>
      <w:pPr>
        <w:pStyle w:val="FirstParagraph"/>
      </w:pPr>
      <w:r>
        <w:t xml:space="preserve">(102) Rojer J. Smith. Property Law. op. Cit. P.592.</w:t>
      </w:r>
    </w:p>
    <w:p>
      <w:pPr>
        <w:pStyle w:val="BodyText"/>
      </w:pPr>
      <w:r>
        <w:t xml:space="preserve">(103) Martin Dixon. Modern Land Law. op. Cit. P.422.</w:t>
      </w:r>
    </w:p>
    <w:p>
      <w:pPr>
        <w:pStyle w:val="BodyText"/>
      </w:pPr>
      <w:r>
        <w:t xml:space="preserve">(١٠٤) د.درع حماد. النظرية العامة للالتزامات القسم الأول مصادر الالتزام. مكتبة السنهوري. بيروت. ٢٠١٦.</w:t>
      </w:r>
    </w:p>
    <w:p>
      <w:pPr>
        <w:pStyle w:val="BodyText"/>
      </w:pPr>
      <w:r>
        <w:t xml:space="preserve">446 السنة السادسة والثلاثون - مجلة جامعة الإمارات ]</w:t>
      </w:r>
    </w:p>
    <w:p>
      <w:pPr>
        <w:pStyle w:val="BodyText"/>
      </w:pPr>
      <w:r>
        <w:t xml:space="preserve">https://scholarworks.uaeu.ac.ae/sharia_and_law/vol2022/iss91/7</w:t>
      </w:r>
    </w:p>
    <w:p>
      <w:pPr>
        <w:pStyle w:val="BodyText"/>
      </w:pPr>
      <w:r>
        <w:t xml:space="preserve">40</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(١ - يجوز أن يقترن العقد بشرط يؤكد مقتضاه أو يلائمه أو يكون جاريًا به العرف والعادة).</w:t>
      </w:r>
    </w:p>
    <w:p>
      <w:pPr>
        <w:pStyle w:val="BodyText"/>
      </w:pPr>
      <w:r>
        <w:t xml:space="preserve">كما نصت المادة (٢٠٦) من قانون المعاملات المدنية الاتحادي الإماراتي على أنه (يجوز أن يقترن العقد بشرط يؤكد مقتضاه أو يلائمه أو جرى به العرف والعادة أو فيه نفع لأحد المتعاقدين أو لغيرهما، كل ذلك ما لم يمنعه الشارع أو يخالف النظام العام أو الآداب وإلا بطل الشرط وصح العقد، ما لم يكن الشرط هو الدافع إلى التعاقد فيبطل العقد أيضاً). ولكن المشرعين العراقي والإماراتي خرجا عن هذه القاعدة فيما يتعلق بشرط غلق الرهن المتمثل بشرطي الاتفاق على تملك المال المرهون عند عدم الوفاء، وشرط الطريق الممهد أو الاتفاق على بيع العقار المرهون دون المرور بالإجراءات القانونية، وإبطالهما بموجب الفقرة الثانية من المادة (١٣١) من القانون المدني العراقي، والشطر الثاني من المادة (٢٠٦) من قانون المعاملات المدنية الاتحادي الإماراتي، على أساس مخالفتهما للنظام العام (١٠٥) . إذ نصت الفقرة الثانية من المادة (١٣١) من القانون المدني العراقي على أنه كما يجوز أن يقترن بشرط نفع لأحد العاقدين أو للغير إذا لم يكن ممنوعاً قانوناً أو مخالفاً للنظام العام أو للآداب وإلا ألغي الشرط وصح العقد ما لم يكن الشرط الدافع إلى التعاقد فيبطل العقد أيضاً). إلا أن البطلان يسري على الشرط وحده من دون عقد الرهن، فيلغى الشرط ويبقى عقد الرهن صحيحاً (١٠٦) ، بمقتضى الشطر الأول من الفقرة الثانية من المادة (۱۳۱) منه التي قضت ببطلان الشرط التقييدي الممنوع قانوناً أو المخالف للنظام العام والآداب، والتي نصت على أنه (كما يجوز أن يقترن (العقد) بشرط فيه نفع لأحد العاقدين أو للغير إذا لم يكن ممنوعاً قانوناً أو مخالفاً للنظام العام أو للآداب، وإلا ألغي الشرط وصح العقد ما لم يكن الشرط هو الدافع إلى التعاقد فيبطل العقد أيضاً). فبمقتضى هذه الفقرة يعد الشرط المقترن بالعقد صحيحاً، مالم يكن شرطاً ممنوعاً قانوناً أو مخالفاً للنظام العام أو الآداب</w:t>
      </w:r>
    </w:p>
    <w:p>
      <w:pPr>
        <w:pStyle w:val="BodyText"/>
      </w:pPr>
      <w:r>
        <w:t xml:space="preserve">ص ۱۷۸.</w:t>
      </w:r>
    </w:p>
    <w:p>
      <w:pPr>
        <w:pStyle w:val="BodyText"/>
      </w:pPr>
      <w:r>
        <w:t xml:space="preserve">(١٠٥) د. عبد المجيد الحكيم الموجز في شرح القانون المدني، الجزء الأول في مصادر الالتزام مع المقارنة بالفقه الإسلامي، شركة الطبع والنشر الأهلية، بغداد، ١٩٦٣، ص ١٩٠.</w:t>
      </w:r>
    </w:p>
    <w:p>
      <w:pPr>
        <w:pStyle w:val="BodyText"/>
      </w:pPr>
      <w:r>
        <w:t xml:space="preserve">(١٠٦) محمد طه البشير ود. غني حسون طه. الحقوق العينية. الجزء الثاني. مصدر سابق. ص ٤٣٠ .</w:t>
      </w:r>
    </w:p>
    <w:p>
      <w:pPr>
        <w:pStyle w:val="BodyText"/>
      </w:pPr>
      <w:r>
        <w:t xml:space="preserve">447</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41</w:t>
      </w:r>
    </w:p>
    <w:p>
      <w:r>
        <w:pict>
          <v:rect style="width:0;height:1.5pt" o:hralign="center" o:hrstd="t" o:hr="t"/>
        </w:pict>
      </w:r>
    </w:p>
    <w:p>
      <w:pPr>
        <w:pStyle w:val="FirstParagraph"/>
      </w:pPr>
      <w:r>
        <w:t xml:space="preserve">Journal Sharia and Law, Vol. 2022, No. 91 [2022], Art. 7</w:t>
      </w:r>
    </w:p>
    <w:bookmarkEnd w:id="101"/>
    <w:bookmarkEnd w:id="102"/>
    <w:bookmarkStart w:id="103" w:name="Xc1954072ff2ad2d5a6e61d92fe1db850e60c760"/>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فيلغى الشرط ويصح العقد (۱۰۷). ويجوز لكل ذي مصلحة أن يتمسك ببطلان الشرط، كما</w:t>
      </w:r>
      <w:r>
        <w:t xml:space="preserve"> </w:t>
      </w:r>
      <w:r>
        <w:t xml:space="preserve">يمكن للمحكمة أن تقضي بالبطلان من تلقاء نفسها. فالغاية من هذا بطلان الشرط هي حماية</w:t>
      </w:r>
      <w:r>
        <w:t xml:space="preserve"> </w:t>
      </w:r>
      <w:r>
        <w:t xml:space="preserve">المركز القانوني الضعيف للمدين الراهن، من استغلال الدائن المرتهن الذي قد يفرض شروطاً</w:t>
      </w:r>
      <w:r>
        <w:t xml:space="preserve"> </w:t>
      </w:r>
      <w:r>
        <w:t xml:space="preserve">تعسفية عليه (۱۰۸)، من بينها أن يكون الثمن المتفق عليه بين المدين الراهن وبين الدائن المرتهن</w:t>
      </w:r>
      <w:r>
        <w:t xml:space="preserve"> </w:t>
      </w:r>
      <w:r>
        <w:t xml:space="preserve">لتملك الأخير للمال المرهون غير مساوٍ لقيمته الحقيقية. بل يكون أقل بكثير من القيمة الحقيقية</w:t>
      </w:r>
      <w:r>
        <w:t xml:space="preserve"> </w:t>
      </w:r>
      <w:r>
        <w:t xml:space="preserve">للعقار، فيستفيد الدائن المرتهن من الفرق بين تلك القيمة والثمن المتفق عليه (١٠٩). كما يمكن</w:t>
      </w:r>
      <w:r>
        <w:t xml:space="preserve"> </w:t>
      </w:r>
      <w:r>
        <w:t xml:space="preserve">أن يتجسد استغلال الدائن المرتهن للمدين الراهن بالفرق بين قيمة المال المرهون وبين الدين</w:t>
      </w:r>
      <w:r>
        <w:t xml:space="preserve"> </w:t>
      </w:r>
      <w:r>
        <w:t xml:space="preserve">الموثق بالرهن، ولا سيما إذا كانت تلك القيمة أكبر بكثير من مقدار الدين (۱۱۰). كذلك الحال</w:t>
      </w:r>
      <w:r>
        <w:t xml:space="preserve"> </w:t>
      </w:r>
      <w:r>
        <w:t xml:space="preserve">بالنسبة إلى شرط الطريق الممهد، إذا جرى الاتفاق على بيع العقار ودياً، أو حتى عن طريق المزاد</w:t>
      </w:r>
      <w:r>
        <w:t xml:space="preserve"> </w:t>
      </w:r>
      <w:r>
        <w:t xml:space="preserve">من دون تدخل دائرة التسجيل العقاري. فيلغى الشرط ويبطل وحده، ويبقى عقد الرهن</w:t>
      </w:r>
      <w:r>
        <w:t xml:space="preserve"> </w:t>
      </w:r>
      <w:r>
        <w:t xml:space="preserve">صحيحاً (١١١)، لأن الحقوق العينية التبعية عموماً، وحق الرهن على وجه الخصوص تعد ضمانة</w:t>
      </w:r>
      <w:r>
        <w:t xml:space="preserve"> </w:t>
      </w:r>
      <w:r>
        <w:t xml:space="preserve">عينية للدائن تمكنه من استيفاء حقه(۱۱۲).</w:t>
      </w:r>
    </w:p>
    <w:p>
      <w:pPr>
        <w:numPr>
          <w:ilvl w:val="0"/>
          <w:numId w:val="1010"/>
        </w:numPr>
        <w:pStyle w:val="Compact"/>
      </w:pPr>
      <w:r>
        <w:t xml:space="preserve">د.عبد الرزاق السنهوري. مصادر الحق في الفقه الإسلامي. الجزء الثالث. محل العقد. الطبعة الثانية. منشورات</w:t>
      </w:r>
      <w:r>
        <w:t xml:space="preserve"> </w:t>
      </w:r>
      <w:r>
        <w:t xml:space="preserve">الحلبي الحقوقية. بيروت لبنان. ١٩٩٨. ص ١٧٥.</w:t>
      </w:r>
    </w:p>
    <w:p>
      <w:pPr>
        <w:numPr>
          <w:ilvl w:val="0"/>
          <w:numId w:val="1010"/>
        </w:numPr>
        <w:pStyle w:val="Compact"/>
      </w:pPr>
      <w:r>
        <w:t xml:space="preserve">د. عصمت عبد المجيد بكر . الوجيز في العقود المدنية المسماة - الرهن مصدر سابق. ص۲۳۰.</w:t>
      </w:r>
    </w:p>
    <w:p>
      <w:pPr>
        <w:numPr>
          <w:ilvl w:val="0"/>
          <w:numId w:val="1010"/>
        </w:numPr>
        <w:pStyle w:val="Compact"/>
      </w:pPr>
      <w:r>
        <w:t xml:space="preserve">د. عبد الرزاق أحمد السنهوري. الوسيط في شرح القانون المدني. ج ١٠. مصدر سابق، ص۳۳۲.</w:t>
      </w:r>
    </w:p>
    <w:p>
      <w:pPr>
        <w:numPr>
          <w:ilvl w:val="0"/>
          <w:numId w:val="1010"/>
        </w:numPr>
        <w:pStyle w:val="Compact"/>
      </w:pPr>
      <w:r>
        <w:t xml:space="preserve">د. عصمت عبد المجيد بكر . الوجيز في العقود المدنية المسماة الرهن. مصدر سابق. ص۲۲۸.</w:t>
      </w:r>
    </w:p>
    <w:p>
      <w:pPr>
        <w:numPr>
          <w:ilvl w:val="0"/>
          <w:numId w:val="1010"/>
        </w:numPr>
        <w:pStyle w:val="Compact"/>
      </w:pPr>
      <w:r>
        <w:t xml:space="preserve">محمد طه البشير ود. غني حسون طه الحقوق العينية. الجزء الثاني. مصدر سابق. ص ٤٣١ .</w:t>
      </w:r>
    </w:p>
    <w:p>
      <w:pPr>
        <w:numPr>
          <w:ilvl w:val="0"/>
          <w:numId w:val="1010"/>
        </w:numPr>
        <w:pStyle w:val="Compact"/>
      </w:pPr>
      <w:r>
        <w:t xml:space="preserve">د. طارق كاظم عجيل. الحقوق العينية الأصلية. الجزء الأول. حق الملكية دار السنهوري. بيروت لبنان.</w:t>
      </w:r>
      <w:r>
        <w:t xml:space="preserve"> </w:t>
      </w:r>
      <w:r>
        <w:t xml:space="preserve">۲۰۱۹. ص ۱۷.</w:t>
      </w:r>
    </w:p>
    <w:p>
      <w:pPr>
        <w:pStyle w:val="FirstParagraph"/>
      </w:pPr>
      <w:r>
        <w:t xml:space="preserve">448 السنة السادسة والثلاثون - مجلة جامعة الإمارات ]</w:t>
      </w:r>
    </w:p>
    <w:p>
      <w:pPr>
        <w:pStyle w:val="BodyText"/>
      </w:pPr>
      <w:r>
        <w:t xml:space="preserve">https://scholarworks.uaeu.ac.ae/sharia_and_law/vol2022/iss91/7</w:t>
      </w:r>
    </w:p>
    <w:p>
      <w:pPr>
        <w:pStyle w:val="BodyText"/>
      </w:pPr>
      <w:r>
        <w:t xml:space="preserve">42</w:t>
      </w:r>
    </w:p>
    <w:p>
      <w:r>
        <w:pict>
          <v:rect style="width:0;height:1.5pt" o:hralign="center" o:hrstd="t" o:hr="t"/>
        </w:pict>
      </w:r>
    </w:p>
    <w:p>
      <w:pPr>
        <w:pStyle w:val="FirstParagraph"/>
      </w:pPr>
      <w:r>
        <w:t xml:space="preserve">Ali: ??? ????? ?? ??????? ????????? ????? ??????? ?????? ?????? ???????? ???????? ???????</w:t>
      </w:r>
    </w:p>
    <w:p>
      <w:pPr>
        <w:pStyle w:val="BodyText"/>
      </w:pPr>
      <w:r>
        <w:t xml:space="preserve">د. يونس صلاح الدين علي]</w:t>
      </w:r>
    </w:p>
    <w:bookmarkEnd w:id="103"/>
    <w:bookmarkStart w:id="105" w:name="الفرع-الثاني-2"/>
    <w:p>
      <w:pPr>
        <w:pStyle w:val="Heading2"/>
      </w:pPr>
      <w:r>
        <w:t xml:space="preserve">الفرع الثاني</w:t>
      </w:r>
    </w:p>
    <w:bookmarkStart w:id="104" w:name="بطلان-شرط-غلق-الرهن-وعقد-الرهن-معا"/>
    <w:p>
      <w:pPr>
        <w:pStyle w:val="Heading3"/>
      </w:pPr>
      <w:r>
        <w:t xml:space="preserve">بطلان شرط غلق الرهن وعقد الرهن معاً</w:t>
      </w:r>
    </w:p>
    <w:p>
      <w:pPr>
        <w:pStyle w:val="FirstParagraph"/>
      </w:pPr>
      <w:r>
        <w:t xml:space="preserve">كما يترتب على غلق الرهن في القانونين العراقي والإماراتي في بعض الأحيان بطلان شرط غلق الرهن، فضلاً عن بطلان عقد الرهن على حد سواء. فالقاعدة العامة، وكما أشرنا سابقاً، هي أن أثر البطلان يشمل الشرط نفسه، ولا يسري عقد الرهن. مالم يكن هذا الشرط هو الباعث الدافع على التعاقد فيبطل الشرط وعقد الرهن معاً(۱۱۳). وذلك بمقتضى الشطر الثاني من الفقرة الثانية من المادة (۱۳۱) من القانون المدني العراقي، والمادة (٢٠٦) من قانون المعاملات المدنية الاتحادي الإماراتي، اللتين أشرنا إليهما سابقاً. فبعد أن بين النصان بأن الأصل العام هو جواز اقتران العقد بشرط نفع لأحد العاقدين أو للغير، إذا لم يكن ممنوعاً قانوناً أو مخالفاً للنظام العام أو للآداب (١١٤) ، فقد ميزا بين حالتين: الأولى هي الشرط التقييدي المقترن بالعقد غير الدافع إلى التعاقد، والثانية الشرط الدافع إلى التعاقد، فقضيا بصحة العقد وألغيا الشرط أو بطلانه في الحالة الأولى (١١٥) ، وببطلانهما معاً في الحالة الثانية(١١٦). فإذا كان إدراج شرط غلق الرهن في عقد الرهن هو الباعث الذي دفع الدائن المرتهن على التعاقد، فحينئذ يبطل الشرط والرهن معاً (١١٧).</w:t>
      </w:r>
    </w:p>
    <w:p>
      <w:pPr>
        <w:pStyle w:val="BodyText"/>
      </w:pPr>
      <w:r>
        <w:t xml:space="preserve">(۱۱۳) د. عصمت عبد المجيد بكر. النظرية العامة للالتزامات. الجزء الاول. مصادر الالتزام. الطبعة الاولى. الذاكرة للنشر والتوزيع. بغداد. ٢٠١١. ص ٢٨٥.</w:t>
      </w:r>
    </w:p>
    <w:p>
      <w:pPr>
        <w:pStyle w:val="BodyText"/>
      </w:pPr>
      <w:r>
        <w:t xml:space="preserve">(114) Dan E. Stigall. Iraqi Civil Law: Its Sources Substance and Sundering. Journal of Transnational Law &amp; Policy. Volume 16. Number 1.2006. P.30.</w:t>
      </w:r>
    </w:p>
    <w:p>
      <w:pPr>
        <w:pStyle w:val="BodyText"/>
      </w:pPr>
      <w:r>
        <w:t xml:space="preserve">(١١٥) د. حسن علي الذنون. أصول الالتزام. مطبعة المعارف. بغداد. ۱۹۷۰. ص۱۳۷. ينظر أيضاً د. أحمد سلمان شهيب السعداوي ود. جواد کاظم جواد سميسم. مصادر الالتزام. دراسة مقارنة بالقوانين المدنية والفقه الإسلامي. الطبعة الثانية. منشورات زين الحقوقية. بيروت لبنان. ۲۰۱۷ . ص ١٤٢.</w:t>
      </w:r>
    </w:p>
    <w:p>
      <w:pPr>
        <w:pStyle w:val="BodyText"/>
      </w:pPr>
      <w:r>
        <w:t xml:space="preserve">(١١٦)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 . ص ٤١٩.</w:t>
      </w:r>
    </w:p>
    <w:p>
      <w:pPr>
        <w:pStyle w:val="BodyText"/>
      </w:pPr>
      <w:r>
        <w:t xml:space="preserve">(۱۱۷) د. عبد الرزاق أحمد السنهوري. الوسيط في شرح القانون المدني. ج ۱۰ . مصدر سابق. ص ٣٣٤.</w:t>
      </w:r>
    </w:p>
    <w:p>
      <w:pPr>
        <w:pStyle w:val="BodyText"/>
      </w:pPr>
      <w:r>
        <w:t xml:space="preserve">449</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43</w:t>
      </w:r>
    </w:p>
    <w:p>
      <w:r>
        <w:pict>
          <v:rect style="width:0;height:1.5pt" o:hralign="center" o:hrstd="t" o:hr="t"/>
        </w:pict>
      </w:r>
    </w:p>
    <w:p>
      <w:pPr>
        <w:pStyle w:val="FirstParagraph"/>
      </w:pPr>
      <w:r>
        <w:t xml:space="preserve">Journal Sharia and Law, Vol. 2022, No. 91 [2022], Art. 7</w:t>
      </w:r>
    </w:p>
    <w:p>
      <w:pPr>
        <w:pStyle w:val="BodyText"/>
      </w:pPr>
      <w:r>
        <w:t xml:space="preserve">[غلق الرهن في القانون الإنجليزي دراسة تحليلية مقارنة بالفقة الإسلامي والقانون المقارن]</w:t>
      </w:r>
    </w:p>
    <w:bookmarkEnd w:id="104"/>
    <w:bookmarkEnd w:id="105"/>
    <w:bookmarkStart w:id="107" w:name="الخاتمة"/>
    <w:p>
      <w:pPr>
        <w:pStyle w:val="Heading2"/>
      </w:pPr>
      <w:r>
        <w:t xml:space="preserve">الخاتمة</w:t>
      </w:r>
    </w:p>
    <w:p>
      <w:pPr>
        <w:pStyle w:val="FirstParagraph"/>
      </w:pPr>
      <w: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06" w:name="Xd6850b7e4b3348c647e88a1e61156efdc53b58e"/>
    <w:p>
      <w:pPr>
        <w:pStyle w:val="Heading3"/>
      </w:pPr>
      <w:r>
        <w:t xml:space="preserve">أولاً: النتائج : وقد توصلت الدراسة إلى النتائج الآتية:</w:t>
      </w:r>
    </w:p>
    <w:p>
      <w:pPr>
        <w:numPr>
          <w:ilvl w:val="0"/>
          <w:numId w:val="1011"/>
        </w:numPr>
        <w:pStyle w:val="Compact"/>
      </w:pPr>
      <w:r>
        <w:t xml:space="preserve">(١) 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1"/>
        </w:numPr>
        <w:pStyle w:val="Compact"/>
      </w:pPr>
      <w:r>
        <w:t xml:space="preserve">(٢) 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1"/>
        </w:numPr>
        <w:pStyle w:val="Compact"/>
      </w:pPr>
      <w:r>
        <w:t xml:space="preserve">(٣) 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pStyle w:val="FirstParagraph"/>
      </w:pPr>
      <w:r>
        <w:t xml:space="preserve">450 السنة السادسة والثلاثون - مجلة جامعة الإمارات ]</w:t>
      </w:r>
    </w:p>
    <w:p>
      <w:pPr>
        <w:pStyle w:val="BodyText"/>
      </w:pPr>
      <w:r>
        <w:t xml:space="preserve">https://scholarworks.uaeu.ac.ae/sharia_and_law/vol2022/iss91/7</w:t>
      </w:r>
    </w:p>
    <w:p>
      <w:pPr>
        <w:pStyle w:val="BodyText"/>
      </w:pPr>
      <w:r>
        <w:t xml:space="preserve">44</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للدائن المرتهن ممارسة حقه في غلق الرهن إلا بطلب يتقدم به للمحكمة عن طريق دعوى تعرف بدعوى غلق الرهن.</w:t>
      </w:r>
    </w:p>
    <w:p>
      <w:pPr>
        <w:pStyle w:val="BodyText"/>
      </w:pPr>
      <w:r>
        <w:t xml:space="preserve">(٤) 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pStyle w:val="BodyText"/>
      </w:pPr>
      <w:r>
        <w:t xml:space="preserve">ه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pStyle w:val="BodyText"/>
      </w:pPr>
      <w: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pStyle w:val="BodyText"/>
      </w:pPr>
      <w:r>
        <w:t xml:space="preserve">أشار القانونان العراقي والإماراتي، المتأثرين بالفقه الاسلامي، إلى غلق الرهن وعداه باطلاً بمقتضى المادتين (۱۳۰۱) من القانون المدني العراقي، و(١٤٢٠) من قانون المعاملات المدنية الاتحادي الإماراتي. كما أبطلته الفقرة الأولى من المادة (١٠٥٢)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pPr>
        <w:pStyle w:val="BodyText"/>
      </w:pPr>
      <w:r>
        <w:t xml:space="preserve">451</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45</w:t>
      </w:r>
    </w:p>
    <w:p>
      <w:r>
        <w:pict>
          <v:rect style="width:0;height:1.5pt" o:hralign="center" o:hrstd="t" o:hr="t"/>
        </w:pict>
      </w:r>
    </w:p>
    <w:p>
      <w:pPr>
        <w:pStyle w:val="FirstParagraph"/>
      </w:pPr>
      <w:r>
        <w:t xml:space="preserve">Journal Sharia and Law, Vol. 2022, No. 91 [2022], Art. 7</w:t>
      </w:r>
    </w:p>
    <w:bookmarkEnd w:id="106"/>
    <w:bookmarkEnd w:id="107"/>
    <w:bookmarkStart w:id="108" w:name="Xb6f457f46f9a9e7bf5fde62960b8ed5009b0201"/>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المضمون، بعد حلول الدين كله أو قسط منه. كما أجازته الفقرة الثانية من المادة (١٧٦) من قانون المعاملات التجارية الاتحادي الإماراتي رقم (۱۸) لسنة ۱۹۹۳ ، والمادتان (۲۷) و (۲۸) من قانون رهن الأموال المنقولة الاتحادي الإماراتي رقم (٢٠) لسنة ٢٠١٦.</w:t>
      </w:r>
    </w:p>
    <w:p>
      <w:pPr>
        <w:pStyle w:val="BodyText"/>
      </w:pPr>
      <w:r>
        <w:t xml:space="preserve">٨) 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pStyle w:val="BodyText"/>
      </w:pPr>
      <w:r>
        <w:t xml:space="preserve">٩) 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pStyle w:val="BodyText"/>
      </w:pPr>
      <w:r>
        <w:t xml:space="preserve">(١٠) 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End w:id="108"/>
    <w:bookmarkStart w:id="109" w:name="X73daa0430b069e110301c00ee8d43a63fa3b5ee"/>
    <w:p>
      <w:pPr>
        <w:pStyle w:val="Heading2"/>
      </w:pPr>
      <w:r>
        <w:t xml:space="preserve">ثانياً: التوصيات: بعد الانتهاء من عرض النتائج التي توصلت إليها الدراسة، فإننا نقترح التوصيات الآتية:</w:t>
      </w:r>
    </w:p>
    <w:p>
      <w:pPr>
        <w:numPr>
          <w:ilvl w:val="0"/>
          <w:numId w:val="1012"/>
        </w:numPr>
        <w:pStyle w:val="Compact"/>
      </w:pPr>
      <w:r>
        <w:t xml:space="preserve">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pStyle w:val="FirstParagraph"/>
      </w:pPr>
      <w:r>
        <w:t xml:space="preserve">452 السنة السادسة والثلاثون - مجلة جامعة الإمارات ]</w:t>
      </w:r>
    </w:p>
    <w:p>
      <w:pPr>
        <w:pStyle w:val="BodyText"/>
      </w:pPr>
      <w:r>
        <w:t xml:space="preserve">https://scholarworks.uaeu.ac.ae/sharia_and_law/vol2022/iss91/7</w:t>
      </w:r>
    </w:p>
    <w:p>
      <w:pPr>
        <w:pStyle w:val="BodyText"/>
      </w:pPr>
      <w:r>
        <w:t xml:space="preserve">46</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 وقواعد القانونين العراقي والإماراتي التي منعت، وكأصل عام، غلق الرهن وعدته باطلاً. وعليه فإننا نقترح النص الآتي: (لا يغلق الرهن، كأصل عام، إلا أنه يفرض استثناءً على المدين الراهن بسبب امتناعه عن الوفاء بالدين المضمون، فضلاً عن إهماله وتقصيره في تنفيذ التزاماته الناشئة عن عقد الرهن، أو تعمده في عدم الوفاء بها. فيجوز للدائن المرتهن المطالبة بغلق الرهن جزاءً لإهمال المدين وتقصيره أو تعمده الإضرار به، ودعماً لاستثمار الثروة العقارية).</w:t>
      </w:r>
    </w:p>
    <w:p>
      <w:pPr>
        <w:pStyle w:val="BodyText"/>
      </w:pPr>
      <w:r>
        <w:t xml:space="preserve">٢ - كما نقترح على المشرعين العراقي والإماراتي تحديد الحالات التي تسمح للدائن المرتهن المطالبة بغلق الرهن على سبيل الحصر، لأنها وردت استثناءً من القاعدة العامة السائدة في القانونين العراقي والإماراتي والمتأثرين بالفقه الإسلامي. فالاستثناء لا يقاس عليه ولا يتوسع في تفسيره. وعليه فإننا نقترح النص الآتي: (للدائن المرتهن المطالبة بغلق الرهن وتملك العقار المرهون في الحالات الآتية حصراً مع الاقتران بالامتناع عن الوفاء بالدين المضمون: أ-إهماله وتقصيره أو تعمده في عدم إصلاح العقار المرهون أو صيانته أو التأمين عليه أو المحافظة عليه في حالة جيدة للتقليل من قيمته وتعرضه للهلاك . ب - تعمده التهرب من دفع الضرائب المترتبة على العقار المرهون. ج- تعمده بيع العقار المرهون بثمن بخس من دون إذن الدائن المرتهن أو موافقته للإضرار به).</w:t>
      </w:r>
    </w:p>
    <w:p>
      <w:pPr>
        <w:pStyle w:val="BodyText"/>
      </w:pPr>
      <w:r>
        <w:t xml:space="preserve">٣- ونوصي المشرعين العراقي والإماراتي بتوفير ضمانات للمدين الراهن قبل الحكم بغلق الرهن، على الرغم من إهماله وتقصيره أو تعمده الإضرار بالدائن المرتهن. كصدور أمر تمهيدي من المحكمة المختصة بغلق الرهن يسمح للمدين الراهن بتمديد مدة الوفاء بالدين المضمون، قبل صدور الأمر النهائي بإغلاق الرهن شريطة أن لا يكون العقار الذي يغلق رهنه محل سكن المدين الراهن أو أفراد عائلته. وعليه فإننا نقترح النص الآتي : ( على المحكمة إصدار أمر تمهيدي بغلق الرهن، يسمح للمدين الراهن بتمديد مدة الوفاء بالدين المضمون، وإنذاره بالتوقف عن</w:t>
      </w:r>
    </w:p>
    <w:p>
      <w:r>
        <w:pict>
          <v:rect style="width:0;height:1.5pt" o:hralign="center" o:hrstd="t" o:hr="t"/>
        </w:pic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left"/>
            </w:pPr>
            <w:r>
              <w:t xml:space="preserve">453</w:t>
            </w:r>
          </w:p>
        </w:tc>
        <w:tc>
          <w:tcPr/>
          <w:p>
            <w:pPr>
              <w:pStyle w:val="Compact"/>
              <w:jc w:val="center"/>
            </w:pPr>
            <w:r>
              <w:t xml:space="preserve">العدد الواحد والتسعون - ذو الحجة 1443 هـ يوليو 2022]</w:t>
            </w:r>
          </w:p>
        </w:tc>
        <w:tc>
          <w:tcPr/>
          <w:p>
            <w:pPr>
              <w:pStyle w:val="Compact"/>
            </w:pPr>
          </w:p>
        </w:tc>
      </w:tr>
      <w:tr>
        <w:tc>
          <w:tcPr/>
          <w:p>
            <w:pPr>
              <w:pStyle w:val="Compact"/>
              <w:jc w:val="left"/>
            </w:pPr>
            <w:r>
              <w:t xml:space="preserve">Published by Scholarworks@UAEU, 2022</w:t>
            </w:r>
          </w:p>
        </w:tc>
        <w:tc>
          <w:tcPr/>
          <w:p>
            <w:pPr>
              <w:pStyle w:val="Compact"/>
            </w:pPr>
          </w:p>
        </w:tc>
        <w:tc>
          <w:tcPr/>
          <w:p>
            <w:pPr>
              <w:pStyle w:val="Compact"/>
              <w:jc w:val="left"/>
            </w:pPr>
            <w:r>
              <w:t xml:space="preserve">47</w:t>
            </w:r>
          </w:p>
        </w:tc>
      </w:tr>
    </w:tbl>
    <w:p>
      <w:r>
        <w:pict>
          <v:rect style="width:0;height:1.5pt" o:hralign="center" o:hrstd="t" o:hr="t"/>
        </w:pict>
      </w:r>
    </w:p>
    <w:p>
      <w:pPr>
        <w:pStyle w:val="FirstParagraph"/>
      </w:pPr>
      <w:r>
        <w:t xml:space="preserve">Journal Sharia and Law, Vol. 2022, No. 91 [2022], Art. 7</w:t>
      </w:r>
    </w:p>
    <w:bookmarkEnd w:id="109"/>
    <w:bookmarkStart w:id="110" w:name="X5dc45eae79b22b98b17bef445daa4c96b740c74"/>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numPr>
          <w:ilvl w:val="0"/>
          <w:numId w:val="1013"/>
        </w:numPr>
      </w:pPr>
      <w:r>
        <w:t xml:space="preserve">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 (للمحكمة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numPr>
          <w:ilvl w:val="0"/>
          <w:numId w:val="1013"/>
        </w:numPr>
      </w:pPr>
      <w:r>
        <w:t xml:space="preserve">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 وعليه فإننا نقترح النص الآتي: (يجوز للدائن المرتهن الاتفاق مع المدين الراهن على تملك الشيء المرهون أو بيعه دون مراعاة الأحكام والإجراءات المنصوص عليها في المادة ۱۷۲ ،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r>
        <w:pict>
          <v:rect style="width:0;height:1.5pt" o:hralign="center" o:hrstd="t" o:hr="t"/>
        </w:pict>
      </w:r>
    </w:p>
    <w:p>
      <w:pPr>
        <w:pStyle w:val="FirstParagraph"/>
      </w:pPr>
      <w:r>
        <w:t xml:space="preserve">454 السنة السادسة والثلاثون - مجلة جامعة الإمارات ]</w:t>
      </w:r>
    </w:p>
    <w:p>
      <w:pPr>
        <w:pStyle w:val="BodyText"/>
      </w:pPr>
      <w:r>
        <w:t xml:space="preserve">https://scholarworks.uaeu.ac.ae/sharia_and_law/vol2022/iss91/7</w:t>
      </w:r>
    </w:p>
    <w:p>
      <w:pPr>
        <w:pStyle w:val="BodyText"/>
      </w:pPr>
      <w:r>
        <w:t xml:space="preserve">48</w:t>
      </w:r>
    </w:p>
    <w:p>
      <w:r>
        <w:pict>
          <v:rect style="width:0;height:1.5pt" o:hralign="center" o:hrstd="t" o:hr="t"/>
        </w:pict>
      </w:r>
    </w:p>
    <w:p>
      <w:pPr>
        <w:pStyle w:val="FirstParagraph"/>
      </w:pPr>
      <w:r>
        <w:t xml:space="preserve">د.يونس صلاح الدين علي]</w:t>
      </w:r>
    </w:p>
    <w:bookmarkEnd w:id="110"/>
    <w:bookmarkEnd w:id="111"/>
    <w:bookmarkStart w:id="115" w:name="المصادر"/>
    <w:p>
      <w:pPr>
        <w:pStyle w:val="Heading1"/>
      </w:pPr>
      <w:r>
        <w:t xml:space="preserve">المصادر</w:t>
      </w:r>
    </w:p>
    <w:bookmarkStart w:id="114" w:name="أولا-المصادر-باللغة-العربية."/>
    <w:p>
      <w:pPr>
        <w:pStyle w:val="Heading2"/>
      </w:pPr>
      <w:r>
        <w:t xml:space="preserve">أولاً: المصادر باللغة العربية.</w:t>
      </w:r>
    </w:p>
    <w:bookmarkStart w:id="112" w:name="أ.-كتب-الحديث-الشريف"/>
    <w:p>
      <w:pPr>
        <w:pStyle w:val="Heading3"/>
      </w:pPr>
      <w:r>
        <w:t xml:space="preserve">أ. كتب الحديث الشريف</w:t>
      </w:r>
    </w:p>
    <w:p>
      <w:pPr>
        <w:numPr>
          <w:ilvl w:val="0"/>
          <w:numId w:val="1014"/>
        </w:numPr>
        <w:pStyle w:val="Compact"/>
      </w:pPr>
      <w:r>
        <w:t xml:space="preserve">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۲۰۰۳.</w:t>
      </w:r>
    </w:p>
    <w:p>
      <w:pPr>
        <w:numPr>
          <w:ilvl w:val="0"/>
          <w:numId w:val="1014"/>
        </w:numPr>
        <w:pStyle w:val="Compact"/>
      </w:pPr>
      <w:r>
        <w:t xml:space="preserve">محمد ناصر الدين الألباني. صحيح سنن ابن ماجة. للإمام الحافظ أبي عبد الله محمد بن يزيد القزويني. المجلد الثاني الطبعة الأولى مكتبة المعارف للنشر والتوزيع الرياض. ١٩٩٧.</w:t>
      </w:r>
    </w:p>
    <w:bookmarkEnd w:id="112"/>
    <w:bookmarkStart w:id="113" w:name="ب.-كتب-الفقه-الإسلامي"/>
    <w:p>
      <w:pPr>
        <w:pStyle w:val="Heading3"/>
      </w:pPr>
      <w:r>
        <w:t xml:space="preserve">ب. كتب الفقه الإسلامي</w:t>
      </w:r>
    </w:p>
    <w:p>
      <w:pPr>
        <w:numPr>
          <w:ilvl w:val="0"/>
          <w:numId w:val="1015"/>
        </w:numPr>
        <w:pStyle w:val="Compact"/>
      </w:pPr>
      <w:r>
        <w:t xml:space="preserve">أبو الحسن علي بن عبد السلام التسولي. البهجة في شرح التحفة. الجزء الأول. الطبعة الأولى. دار الكتب العلمية بيروت . لبنان. ۱۹۹۸.</w:t>
      </w:r>
    </w:p>
    <w:p>
      <w:pPr>
        <w:numPr>
          <w:ilvl w:val="0"/>
          <w:numId w:val="1015"/>
        </w:numPr>
        <w:pStyle w:val="Compact"/>
      </w:pPr>
      <w:r>
        <w:t xml:space="preserve">شمس الدين السرخسي المبسوط . الجزء الثاني عشر. دار المعرفة بيروت. ١٩٨٩.</w:t>
      </w:r>
    </w:p>
    <w:p>
      <w:pPr>
        <w:numPr>
          <w:ilvl w:val="0"/>
          <w:numId w:val="1015"/>
        </w:numPr>
        <w:pStyle w:val="Compact"/>
      </w:pPr>
      <w:r>
        <w:t xml:space="preserve">) علاء الدين أبو بكر بن مسعود الكاساني الحنفي. بدائع الصنائع في ترتيب الشرائع. الجزء الثامن. الطبعة الثانية. دار الكتب العلمية. بيروت لبنان. ۲۰۰۳.</w:t>
      </w:r>
    </w:p>
    <w:p>
      <w:pPr>
        <w:numPr>
          <w:ilvl w:val="0"/>
          <w:numId w:val="1015"/>
        </w:numPr>
        <w:pStyle w:val="Compact"/>
      </w:pPr>
      <w: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۲۰۱۳.</w:t>
      </w:r>
    </w:p>
    <w:p>
      <w:pPr>
        <w:numPr>
          <w:ilvl w:val="0"/>
          <w:numId w:val="1015"/>
        </w:numPr>
        <w:pStyle w:val="Compact"/>
      </w:pPr>
      <w: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۲۰۱۰.</w:t>
      </w:r>
    </w:p>
    <w:p>
      <w:pPr>
        <w:numPr>
          <w:ilvl w:val="0"/>
          <w:numId w:val="1015"/>
        </w:numPr>
        <w:pStyle w:val="Compact"/>
      </w:pPr>
      <w:r>
        <w:t xml:space="preserve">د. وهبة الزحيلي الفقه الإسلامي وأدلته الشامل للأدلة الشرعية والآراء المذهبية</w:t>
      </w:r>
    </w:p>
    <w:p>
      <w:pPr>
        <w:pStyle w:val="FirstParagraph"/>
      </w:pPr>
      <w:r>
        <w:t xml:space="preserve">455</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49</w:t>
      </w:r>
    </w:p>
    <w:p>
      <w:r>
        <w:pict>
          <v:rect style="width:0;height:1.5pt" o:hralign="center" o:hrstd="t" o:hr="t"/>
        </w:pict>
      </w:r>
    </w:p>
    <w:p>
      <w:pPr>
        <w:pStyle w:val="FirstParagraph"/>
      </w:pPr>
      <w:r>
        <w:t xml:space="preserve">Journal Sharia and Law, Vol. 2022, No. 91 [2022], Art. 7</w:t>
      </w:r>
    </w:p>
    <w:bookmarkEnd w:id="113"/>
    <w:bookmarkEnd w:id="114"/>
    <w:bookmarkEnd w:id="115"/>
    <w:bookmarkStart w:id="128" w:name="Xb8f8098c054901b85b2ac25e777a43dc986ed94"/>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16" w:name="ج.-الكتب-القانونية."/>
    <w:p>
      <w:pPr>
        <w:pStyle w:val="Heading2"/>
      </w:pPr>
      <w:r>
        <w:t xml:space="preserve">ج. الكتب القانونية.</w:t>
      </w:r>
    </w:p>
    <w:p>
      <w:pPr>
        <w:numPr>
          <w:ilvl w:val="0"/>
          <w:numId w:val="1016"/>
        </w:numPr>
        <w:pStyle w:val="Compact"/>
      </w:pPr>
      <w:r>
        <w:t xml:space="preserve">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 ۲۰۱۷ .</w:t>
      </w:r>
    </w:p>
    <w:p>
      <w:pPr>
        <w:numPr>
          <w:ilvl w:val="0"/>
          <w:numId w:val="1016"/>
        </w:numPr>
        <w:pStyle w:val="Compact"/>
      </w:pPr>
      <w:r>
        <w:t xml:space="preserve">أدموندس ملكا. شرح القانون الإنجليزي في ثمانية أجزاء. الطبعة الأولى. مطبعة مصر شركة مساهمة مصرية. ١٩٥٤.</w:t>
      </w:r>
    </w:p>
    <w:p>
      <w:pPr>
        <w:numPr>
          <w:ilvl w:val="0"/>
          <w:numId w:val="1016"/>
        </w:numPr>
        <w:pStyle w:val="Compact"/>
      </w:pPr>
      <w:r>
        <w:t xml:space="preserve">د. الشافعي عبد الرحمن السيد عوض. عقد الرهن في الشريعة الإسلامية دراسة مقارنة. مكتبة الوفاء الإسكندرية. ٢٠١١.</w:t>
      </w:r>
    </w:p>
    <w:p>
      <w:pPr>
        <w:numPr>
          <w:ilvl w:val="0"/>
          <w:numId w:val="1016"/>
        </w:numPr>
        <w:pStyle w:val="Compact"/>
      </w:pPr>
      <w:r>
        <w:t xml:space="preserve">د. جورج شدراوي حق الملكية العقارية مع ملحق عن: حق التصرف-حق الانتفاع. الطبعة الثانية. شركة المؤسسة الحديثة للكتاب. لبنان. ٢٠١٧.</w:t>
      </w:r>
    </w:p>
    <w:p>
      <w:pPr>
        <w:numPr>
          <w:ilvl w:val="0"/>
          <w:numId w:val="1016"/>
        </w:numPr>
        <w:pStyle w:val="Compact"/>
      </w:pPr>
      <w:r>
        <w:t xml:space="preserve">د.حسان عبد الغني الخطيب، القانون العام، منشورات زين الحقوقية، بيروت، لبنان، ۲۰۱۲.</w:t>
      </w:r>
    </w:p>
    <w:p>
      <w:pPr>
        <w:numPr>
          <w:ilvl w:val="0"/>
          <w:numId w:val="1016"/>
        </w:numPr>
        <w:pStyle w:val="Compact"/>
      </w:pPr>
      <w:r>
        <w:t xml:space="preserve">د.حسن علي الذنون. أصول الالتزام. مطبعة المعارف. بغداد. ۱۹۷۰.</w:t>
      </w:r>
    </w:p>
    <w:p>
      <w:pPr>
        <w:numPr>
          <w:ilvl w:val="0"/>
          <w:numId w:val="1016"/>
        </w:numPr>
        <w:pStyle w:val="Compact"/>
      </w:pPr>
      <w:r>
        <w:t xml:space="preserve">د. درع حماد. الحقوق العينية الأصلية. حق الملكية والحقوق المتفرعة عنها. دار السنهوري. بيروت لبنان. ۲۰۱۸.</w:t>
      </w:r>
    </w:p>
    <w:p>
      <w:pPr>
        <w:numPr>
          <w:ilvl w:val="0"/>
          <w:numId w:val="1016"/>
        </w:numPr>
        <w:pStyle w:val="Compact"/>
      </w:pPr>
      <w:r>
        <w:t xml:space="preserve">د. درع حماد. النظرية العامة للالتزامات القسم الأول. مصادر الالتزام. مكتبة السنهوري. بيروت. ٢٠١٦.</w:t>
      </w:r>
    </w:p>
    <w:p>
      <w:pPr>
        <w:numPr>
          <w:ilvl w:val="0"/>
          <w:numId w:val="1016"/>
        </w:numPr>
        <w:pStyle w:val="Compact"/>
      </w:pPr>
      <w:r>
        <w:t xml:space="preserve">د. سمير عبد السيد تناغو. التأمينات الشخصية والعينية، الكفالة-الرهن الرسمي- حق الاختصاص - الرهن الحيازي - حقوق الامتياز . مطبعة أطلس القاهرة . ١٩٩٤.</w:t>
      </w:r>
    </w:p>
    <w:p>
      <w:pPr>
        <w:numPr>
          <w:ilvl w:val="0"/>
          <w:numId w:val="1016"/>
        </w:numPr>
        <w:pStyle w:val="Compact"/>
      </w:pPr>
      <w:r>
        <w:t xml:space="preserve">د. صلاح الدين الناهي الوجيز في التأمينات الشخصية والعينية. دار المعرفة، بغداد.</w:t>
      </w:r>
    </w:p>
    <w:p>
      <w:pPr>
        <w:pStyle w:val="FirstParagraph"/>
      </w:pPr>
      <w:r>
        <w:t xml:space="preserve">456</w:t>
      </w:r>
    </w:p>
    <w:p>
      <w:pPr>
        <w:pStyle w:val="BodyText"/>
      </w:pPr>
      <w:r>
        <w:t xml:space="preserve">السنة السادسة والثلاثون - مجلة جامعة الإمارات</w:t>
      </w:r>
    </w:p>
    <w:p>
      <w:pPr>
        <w:pStyle w:val="BodyText"/>
      </w:pPr>
      <w:r>
        <w:t xml:space="preserve">https://scholarworks.uaeu.ac.ae/sharia_and_law/vol2022/iss91/7</w:t>
      </w:r>
    </w:p>
    <w:p>
      <w:pPr>
        <w:pStyle w:val="BodyText"/>
      </w:pPr>
      <w:r>
        <w:t xml:space="preserve">50</w:t>
      </w:r>
    </w:p>
    <w:p>
      <w:r>
        <w:pict>
          <v:rect style="width:0;height:1.5pt" o:hralign="center" o:hrstd="t" o:hr="t"/>
        </w:pict>
      </w:r>
    </w:p>
    <w:p>
      <w:pPr>
        <w:pStyle w:val="FirstParagraph"/>
      </w:pPr>
      <w:r>
        <w:t xml:space="preserve">Ali: ??? ????? ?? ??????? ????????? ????? ??????? ?????? ?????? ???????? ???????? ??????? د. يونس صلاح الدين علي]</w:t>
      </w:r>
    </w:p>
    <w:p>
      <w:pPr>
        <w:pStyle w:val="BodyText"/>
      </w:pPr>
      <w:r>
        <w:t xml:space="preserve">.١٩٥٣</w:t>
      </w:r>
    </w:p>
    <w:p>
      <w:pPr>
        <w:numPr>
          <w:ilvl w:val="0"/>
          <w:numId w:val="1017"/>
        </w:numPr>
        <w:pStyle w:val="Compact"/>
      </w:pPr>
      <w:r>
        <w:t xml:space="preserve">د.طارق كاظم عجيل. الحقوق العينية الأصلية. الجزء الأول. حق الملكية. دار السنهوري. بيروت، لبنان. ۲۰۱۹.</w:t>
      </w:r>
    </w:p>
    <w:p>
      <w:pPr>
        <w:numPr>
          <w:ilvl w:val="0"/>
          <w:numId w:val="1017"/>
        </w:numPr>
        <w:pStyle w:val="Compact"/>
      </w:pPr>
      <w:r>
        <w:t xml:space="preserve">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numPr>
          <w:ilvl w:val="0"/>
          <w:numId w:val="1017"/>
        </w:numPr>
        <w:pStyle w:val="Compact"/>
      </w:pPr>
      <w:r>
        <w:t xml:space="preserve">د. عبد الرزاق السنهوري مصادر الحق في الفقه الإسلامي. الجزء الثالث. محل العقد. الطبعة الثانية. منشورات الحلبي الحقوقية. بيروت لبنان. ١٩٩٨.</w:t>
      </w:r>
    </w:p>
    <w:p>
      <w:pPr>
        <w:numPr>
          <w:ilvl w:val="0"/>
          <w:numId w:val="1017"/>
        </w:numPr>
        <w:pStyle w:val="Compact"/>
      </w:pPr>
      <w:r>
        <w:t xml:space="preserve">د. عبد السلام الترمانيني القانون المقارن المناهج القانونية الكبرى المعاصرة. مطبوعات جامعة الكويت . الطبعة الثانية. ١٩٨٢.</w:t>
      </w:r>
    </w:p>
    <w:p>
      <w:pPr>
        <w:numPr>
          <w:ilvl w:val="0"/>
          <w:numId w:val="1017"/>
        </w:numPr>
        <w:pStyle w:val="Compact"/>
      </w:pPr>
      <w:r>
        <w:t xml:space="preserve">د.عبد المجيد الحكيم الموجز في شرح القانون المدني. الجزء الأول في مصادر الالتزام. مع المقارنة بالفقه الإسلامي. شركة الطبع والنشر الأهلية. بغداد. ١٩٦٣.</w:t>
      </w:r>
    </w:p>
    <w:p>
      <w:pPr>
        <w:numPr>
          <w:ilvl w:val="0"/>
          <w:numId w:val="1017"/>
        </w:numPr>
        <w:pStyle w:val="Compact"/>
      </w:pPr>
      <w:r>
        <w:t xml:space="preserve">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numPr>
          <w:ilvl w:val="0"/>
          <w:numId w:val="1017"/>
        </w:numPr>
        <w:pStyle w:val="Compact"/>
      </w:pPr>
      <w:r>
        <w:t xml:space="preserve">د. عصمت عبد المجيد بكر . الوجيز في العقود المدنية المسماة الرهن. منشورات زين الحقوقية. بيروت لبنان. ۲۰۱۹.</w:t>
      </w:r>
    </w:p>
    <w:p>
      <w:pPr>
        <w:numPr>
          <w:ilvl w:val="0"/>
          <w:numId w:val="1017"/>
        </w:numPr>
        <w:pStyle w:val="Compact"/>
      </w:pPr>
      <w:r>
        <w:t xml:space="preserve">د.عصمت عبد المجيد بكر النظرية العامة للالتزامات الجزء الأول، مصادر الالتزام، الذاكرة للنشر والتوزيع، ٢٠١١.</w:t>
      </w:r>
    </w:p>
    <w:p>
      <w:pPr>
        <w:numPr>
          <w:ilvl w:val="0"/>
          <w:numId w:val="1017"/>
        </w:numPr>
        <w:pStyle w:val="Compact"/>
      </w:pPr>
      <w:r>
        <w:t xml:space="preserve">محمد طه البشير ود.غني حسون طه. الحقوق العينية. الجزء الأول. الحقوق العينية الأصلية. وزارة التعليم العالي. بغداد. ۱۹۸۲.</w:t>
      </w:r>
    </w:p>
    <w:p>
      <w:pPr>
        <w:numPr>
          <w:ilvl w:val="0"/>
          <w:numId w:val="1017"/>
        </w:numPr>
        <w:pStyle w:val="Compact"/>
      </w:pPr>
      <w:r>
        <w:t xml:space="preserve">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pPr>
        <w:pStyle w:val="FirstParagraph"/>
      </w:pPr>
      <w:r>
        <w:t xml:space="preserve">457</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51</w:t>
      </w:r>
    </w:p>
    <w:p>
      <w:r>
        <w:pict>
          <v:rect style="width:0;height:1.5pt" o:hralign="center" o:hrstd="t" o:hr="t"/>
        </w:pict>
      </w:r>
    </w:p>
    <w:p>
      <w:pPr>
        <w:pStyle w:val="FirstParagraph"/>
      </w:pPr>
      <w:r>
        <w:t xml:space="preserve">Journal Sharia and Law, Vol. 2022, No. 91 [2022], Art. 7</w:t>
      </w:r>
    </w:p>
    <w:bookmarkEnd w:id="116"/>
    <w:bookmarkStart w:id="121" w:name="Xdee7ac12dfadbb0dcf02e2316588bbb169a26a2"/>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الأردن. ۲۰۱۸.</w:t>
      </w:r>
    </w:p>
    <w:p>
      <w:pPr>
        <w:pStyle w:val="BodyText"/>
      </w:pPr>
      <w:r>
        <w:t xml:space="preserve">(۲۱) 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Start w:id="117" w:name="د---الرسائل-والأطاريح-الجامعية"/>
    <w:p>
      <w:pPr>
        <w:pStyle w:val="Heading3"/>
      </w:pPr>
      <w:r>
        <w:t xml:space="preserve">د - الرسائل والأطاريح الجامعية</w:t>
      </w:r>
    </w:p>
    <w:p>
      <w:pPr>
        <w:pStyle w:val="FirstParagraph"/>
      </w:pPr>
      <w: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17"/>
    <w:bookmarkStart w:id="118" w:name="هـ---مجموعات-أحكام-القضاء."/>
    <w:p>
      <w:pPr>
        <w:pStyle w:val="Heading3"/>
      </w:pPr>
      <w:r>
        <w:t xml:space="preserve">هـ - مجموعات أحكام القضاء.</w:t>
      </w:r>
    </w:p>
    <w:p>
      <w:pPr>
        <w:pStyle w:val="FirstParagraph"/>
      </w:pPr>
      <w:r>
        <w:t xml:space="preserve">سلمان بيات. القضاء المدني العراقي. الجزء الثاني. شركة الطبع والنشر الأهلية. بغداد. ١٩٦٢.</w:t>
      </w:r>
    </w:p>
    <w:bookmarkEnd w:id="118"/>
    <w:bookmarkStart w:id="119" w:name="و---البحوث-المنشورة"/>
    <w:p>
      <w:pPr>
        <w:pStyle w:val="Heading3"/>
      </w:pPr>
      <w:r>
        <w:t xml:space="preserve">و - البحوث المنشورة</w:t>
      </w:r>
    </w:p>
    <w:p>
      <w:pPr>
        <w:pStyle w:val="FirstParagraph"/>
      </w:pPr>
      <w: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19"/>
    <w:bookmarkStart w:id="120" w:name="ي-القوانين."/>
    <w:p>
      <w:pPr>
        <w:pStyle w:val="Heading3"/>
      </w:pPr>
      <w:r>
        <w:t xml:space="preserve">ي-القوانين.</w:t>
      </w:r>
    </w:p>
    <w:p>
      <w:pPr>
        <w:numPr>
          <w:ilvl w:val="0"/>
          <w:numId w:val="1018"/>
        </w:numPr>
        <w:pStyle w:val="Compact"/>
      </w:pPr>
      <w:r>
        <w:t xml:space="preserve">القانون المدني المصري رقم (١٣١) لسنة ١٩٤٨ .</w:t>
      </w:r>
    </w:p>
    <w:p>
      <w:pPr>
        <w:numPr>
          <w:ilvl w:val="0"/>
          <w:numId w:val="1018"/>
        </w:numPr>
        <w:pStyle w:val="Compact"/>
      </w:pPr>
      <w:r>
        <w:t xml:space="preserve">القانون المدني العراقي رقم (٤٠) لسنة ١٩٥١.</w:t>
      </w:r>
    </w:p>
    <w:p>
      <w:pPr>
        <w:numPr>
          <w:ilvl w:val="0"/>
          <w:numId w:val="1018"/>
        </w:numPr>
        <w:pStyle w:val="Compact"/>
      </w:pPr>
      <w:r>
        <w:t xml:space="preserve">قانون التسجيل العقاري العراقي رقم (٤٣) لسنة ١٩٧١.</w:t>
      </w:r>
    </w:p>
    <w:p>
      <w:pPr>
        <w:numPr>
          <w:ilvl w:val="0"/>
          <w:numId w:val="1018"/>
        </w:numPr>
        <w:pStyle w:val="Compact"/>
      </w:pPr>
      <w:r>
        <w:t xml:space="preserve">قانون المعاملات المدنية الاتحادي الإماراتي رقم (٥) لسنة ١٩٨٥.</w:t>
      </w:r>
    </w:p>
    <w:p>
      <w:pPr>
        <w:numPr>
          <w:ilvl w:val="0"/>
          <w:numId w:val="1018"/>
        </w:numPr>
        <w:pStyle w:val="Compact"/>
      </w:pPr>
      <w:r>
        <w:t xml:space="preserve">قانون المعاملات التجارية الاتحادي الإماراتي رقم (١٨) لسنة ١٩٩٣.</w:t>
      </w:r>
    </w:p>
    <w:p>
      <w:pPr>
        <w:numPr>
          <w:ilvl w:val="0"/>
          <w:numId w:val="1018"/>
        </w:numPr>
        <w:pStyle w:val="Compact"/>
      </w:pPr>
      <w:r>
        <w:t xml:space="preserve">قانون رهن الأموال المنقولة الاتحادي الإماراتي رقم (٢٠) لسنة ٢٠١٦.</w:t>
      </w:r>
    </w:p>
    <w:p>
      <w:pPr>
        <w:pStyle w:val="FirstParagraph"/>
      </w:pPr>
      <w:r>
        <w:t xml:space="preserve">458 السنة السادسة والثلاثون - مجلة جامعة الإمارات ]</w:t>
      </w:r>
    </w:p>
    <w:p>
      <w:pPr>
        <w:pStyle w:val="BodyText"/>
      </w:pPr>
      <w:r>
        <w:t xml:space="preserve">https://scholarworks.uaeu.ac.ae/sharia_and_law/vol2022/iss91/7</w:t>
      </w:r>
    </w:p>
    <w:p>
      <w:pPr>
        <w:pStyle w:val="BodyText"/>
      </w:pPr>
      <w:r>
        <w:t xml:space="preserve">52</w:t>
      </w:r>
    </w:p>
    <w:p>
      <w:r>
        <w:pict>
          <v:rect style="width:0;height:1.5pt" o:hralign="center" o:hrstd="t" o:hr="t"/>
        </w:pict>
      </w:r>
    </w:p>
    <w:p>
      <w:pPr>
        <w:pStyle w:val="FirstParagraph"/>
      </w:pPr>
      <w:r>
        <w:t xml:space="preserve">Ali: ??? ????? ?? ??????? ????????? ????? ??????? ?????? ?????? ???????? ???????? ???????</w:t>
      </w:r>
    </w:p>
    <w:p>
      <w:pPr>
        <w:pStyle w:val="BodyText"/>
      </w:pPr>
      <w:r>
        <w:t xml:space="preserve">د.يونس صلاح الدين علي]</w:t>
      </w:r>
    </w:p>
    <w:bookmarkEnd w:id="120"/>
    <w:bookmarkEnd w:id="121"/>
    <w:bookmarkStart w:id="122" w:name="Xb3e8e599d807c69d29170746a3c657ea3acf3ac"/>
    <w:p>
      <w:pPr>
        <w:pStyle w:val="Heading2"/>
      </w:pPr>
      <w:r>
        <w:t xml:space="preserve">Romanization of references in Arabic into English</w:t>
      </w:r>
    </w:p>
    <w:p>
      <w:pPr>
        <w:numPr>
          <w:ilvl w:val="0"/>
          <w:numId w:val="1019"/>
        </w:numPr>
        <w:pStyle w:val="Compact"/>
      </w:pPr>
      <w:r>
        <w:t xml:space="preserve">Abu bakr 'ahmad bin alhusayn bin eali albihqi. alsunn alkubraa. tahqiq muhamad eabd alqadir eata. aljuz' alsaadis. altibeat althaalithatu. manshurat muhamad eali bidun. dar alkutub aleilmiat bayrut lubnan. 2003.</w:t>
      </w:r>
    </w:p>
    <w:p>
      <w:pPr>
        <w:numPr>
          <w:ilvl w:val="0"/>
          <w:numId w:val="1019"/>
        </w:numPr>
        <w:pStyle w:val="Compact"/>
      </w:pPr>
      <w:r>
        <w:t xml:space="preserve">Muhamad nasir aldiyn al'albani. sahih sunan 'iibn majat. 'abi eabd allah muhamad bin yazid alqazwiniu lil'iimam alhafizi. almujalid althaani. altibeat al'uwalaa. maktabat almaearif lilnashr waltawzie alrayad. 1997.</w:t>
      </w:r>
    </w:p>
    <w:p>
      <w:pPr>
        <w:numPr>
          <w:ilvl w:val="0"/>
          <w:numId w:val="1019"/>
        </w:numPr>
        <w:pStyle w:val="Compact"/>
      </w:pPr>
      <w:r>
        <w:t xml:space="preserve">Abu alhasan eali bin eabd alsalam altswli. albahjat fi sharah altuhfati. aljuz' al'awla. altibeat al'uwalaa. dar alkutub aleilmiat birut. lubnan 1998.</w:t>
      </w:r>
    </w:p>
    <w:p>
      <w:pPr>
        <w:numPr>
          <w:ilvl w:val="0"/>
          <w:numId w:val="1019"/>
        </w:numPr>
        <w:pStyle w:val="Compact"/>
      </w:pPr>
      <w:r>
        <w:t xml:space="preserve">shams aldiyn alsrkhsy. almabsut. aljuz' alththani eushr. dar bayrut almaerifat. 1989.</w:t>
      </w:r>
    </w:p>
    <w:p>
      <w:pPr>
        <w:numPr>
          <w:ilvl w:val="0"/>
          <w:numId w:val="1019"/>
        </w:numPr>
        <w:pStyle w:val="Compact"/>
      </w:pPr>
      <w:r>
        <w:t xml:space="preserve">Eala' aldiyn 'abi bikr bin maseud alkasanii alhanfi. bidayie alsanayie fi tartib alsharayie. aljuz' althaamin. altibeat althaaniati. dar alkutub aleilmiatu. bayrut lubnan. 2003.</w:t>
      </w:r>
    </w:p>
    <w:p>
      <w:pPr>
        <w:numPr>
          <w:ilvl w:val="0"/>
          <w:numId w:val="1019"/>
        </w:numPr>
        <w:pStyle w:val="Compact"/>
      </w:pPr>
      <w:r>
        <w:t xml:space="preserve">Muhamad bin 'ahmad bin jazi alghurnati. alqawanin alfaqhiat fi talkhis madhhab almalikiat waltanbih ealaa madhhib alshaafieiat walhinfiat walhanbaliata. altibeat al'uwalaa. dar 'iabn huzm. bayrut lubnan. 2013.</w:t>
      </w:r>
    </w:p>
    <w:p>
      <w:pPr>
        <w:numPr>
          <w:ilvl w:val="0"/>
          <w:numId w:val="1019"/>
        </w:numPr>
        <w:pStyle w:val="Compact"/>
      </w:pPr>
      <w:r>
        <w:t xml:space="preserve">Muhamad bin muhamad bin eabd alrahmin almaliki almaghribii alhitab 'abu eabd allh. muahib aljalil fi sharah mukhtasir alshaykh khalil. aljuz' alsaadis. altabeat al'uwalaa. dar alradwan. nawakshut, mawritanya. 2010.</w:t>
      </w:r>
    </w:p>
    <w:p>
      <w:pPr>
        <w:numPr>
          <w:ilvl w:val="0"/>
          <w:numId w:val="1019"/>
        </w:numPr>
        <w:pStyle w:val="Compact"/>
      </w:pPr>
      <w: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19"/>
        </w:numPr>
        <w:pStyle w:val="Compact"/>
      </w:pPr>
      <w:r>
        <w:t xml:space="preserve">Dr.'ahmd salman shahib alsaedawi wada. jawad kazim jawad samisim. masadir alshamali. dirasat mqarnt bialqitae almadanii walfaqih alaislami. altibeat althaaniati. manshuirat zayn alhuquqiat. bayrut lubnan 2017.</w:t>
      </w:r>
    </w:p>
    <w:p>
      <w:pPr>
        <w:numPr>
          <w:ilvl w:val="0"/>
          <w:numId w:val="1019"/>
        </w:numPr>
        <w:pStyle w:val="Compact"/>
      </w:pPr>
      <w:r>
        <w:t xml:space="preserve">admund s mulaka. sharah alqanun al'iinjalizia fi ajza'. altibeat al'uwlaa. mutbaeat misr sharikat musahamat masriat. 1954.</w:t>
      </w:r>
    </w:p>
    <w:p>
      <w:pPr>
        <w:numPr>
          <w:ilvl w:val="0"/>
          <w:numId w:val="1019"/>
        </w:numPr>
        <w:pStyle w:val="Compact"/>
      </w:pPr>
      <w:r>
        <w:t xml:space="preserve">Dr. alshafiei eabd alruhmin alsyd eawd. eaqd alrahn fi alshryet al'iislamiat dirasat muqaranat. maktabat alwafa' al'iiskandariat. 2011.</w:t>
      </w:r>
    </w:p>
    <w:p>
      <w:pPr>
        <w:pStyle w:val="FirstParagraph"/>
      </w:pPr>
      <w:r>
        <w:t xml:space="preserve">459</w:t>
      </w:r>
    </w:p>
    <w:p>
      <w:pPr>
        <w:pStyle w:val="BodyText"/>
      </w:pPr>
      <w:r>
        <w:t xml:space="preserve">Published by Scholarworks@UAEU, 2022</w:t>
      </w:r>
    </w:p>
    <w:p>
      <w:pPr>
        <w:pStyle w:val="BodyText"/>
      </w:pPr>
      <w:r>
        <w:t xml:space="preserve">العدد الواحد والتسعون - ذو الحجة 1443 هـ يوليو 2022]</w:t>
      </w:r>
    </w:p>
    <w:p>
      <w:pPr>
        <w:pStyle w:val="BodyText"/>
      </w:pPr>
      <w:r>
        <w:t xml:space="preserve">53</w:t>
      </w:r>
    </w:p>
    <w:p>
      <w:r>
        <w:pict>
          <v:rect style="width:0;height:1.5pt" o:hralign="center" o:hrstd="t" o:hr="t"/>
        </w:pict>
      </w:r>
    </w:p>
    <w:p>
      <w:pPr>
        <w:pStyle w:val="FirstParagraph"/>
      </w:pPr>
      <w:r>
        <w:t xml:space="preserve">Journal Sharia and Law, Vol. 2022, No. 91 [2022], Art. 7</w:t>
      </w:r>
    </w:p>
    <w:bookmarkEnd w:id="122"/>
    <w:bookmarkStart w:id="123" w:name="Xc43dd2ee8f84611d8178d8fa6b3d6527c45639e"/>
    <w:p>
      <w:pPr>
        <w:pStyle w:val="Heading2"/>
        <w:bidi/>
      </w:pPr>
      <w:r>
        <w:rPr>
          <w:rtl/>
        </w:rPr>
        <w:t xml:space="preserve">غلق الرهن في القانون الإنجليزي دراسة تحليلية مقارنة بالفقة الإسلامي والقانون المقارن]</w:t>
      </w:r>
    </w:p>
    <w:bookmarkEnd w:id="123"/>
    <w:p>
      <w:pPr>
        <w:numPr>
          <w:ilvl w:val="0"/>
          <w:numId w:val="1020"/>
        </w:numPr>
        <w:pStyle w:val="Compact"/>
      </w:pPr>
      <w:r>
        <w:t xml:space="preserve">Dr. jurj shidrawi. haqa almalakiat aleaqariat mae malhaq ean: haqi altsrf-hq al'iintfae. altibeat althaaniati. almuasasat alhadithat lilkatab. lubnan. 2017.</w:t>
      </w:r>
    </w:p>
    <w:p>
      <w:pPr>
        <w:numPr>
          <w:ilvl w:val="0"/>
          <w:numId w:val="1020"/>
        </w:numPr>
        <w:pStyle w:val="Compact"/>
      </w:pPr>
      <w:r>
        <w:t xml:space="preserve">Dr. hisan eabd alghaniu alkhatib, alqanun aleamu, manshurat zayn alhuquqiat, bayrut, lubnan, 2012.</w:t>
      </w:r>
    </w:p>
    <w:p>
      <w:pPr>
        <w:numPr>
          <w:ilvl w:val="0"/>
          <w:numId w:val="1020"/>
        </w:numPr>
        <w:pStyle w:val="Compact"/>
      </w:pPr>
      <w:r>
        <w:t xml:space="preserve">dr. hasn eali aldhinwn. 'usul alshamal. mutbaeat almaearif. bighadad. 1970.</w:t>
      </w:r>
    </w:p>
    <w:p>
      <w:pPr>
        <w:numPr>
          <w:ilvl w:val="0"/>
          <w:numId w:val="1020"/>
        </w:numPr>
        <w:pStyle w:val="Compact"/>
      </w:pPr>
      <w:r>
        <w:t xml:space="preserve">Dr. dare hamad. alhuquq aleiniat al'asliatu. huquq almalakiat walhuquq almutafarieat eanha. dar alsnhwri. bayrut lubnan. 2018.</w:t>
      </w:r>
    </w:p>
    <w:p>
      <w:pPr>
        <w:numPr>
          <w:ilvl w:val="0"/>
          <w:numId w:val="1020"/>
        </w:numPr>
        <w:pStyle w:val="Compact"/>
      </w:pPr>
      <w:r>
        <w:t xml:space="preserve">Dr. dare hamad. alnazariat aleamat lilailtizamati. alqism al'awla. masadir alshamal. maktabat alsinhuri. biarut. 2016.</w:t>
      </w:r>
    </w:p>
    <w:p>
      <w:pPr>
        <w:numPr>
          <w:ilvl w:val="0"/>
          <w:numId w:val="1020"/>
        </w:numPr>
        <w:pStyle w:val="Compact"/>
      </w:pPr>
      <w:r>
        <w:t xml:space="preserve">Dr. samir eabd alsyd tanaghu. altaaminat alshakhsiat waleiniatu, alkfalt-alrhn alrsmy-hiq al'ikhtsas-alrihin alhayazia huquq al'iimtayaz.matbieat 'utlis alqahr .1994.</w:t>
      </w:r>
    </w:p>
    <w:p>
      <w:pPr>
        <w:numPr>
          <w:ilvl w:val="0"/>
          <w:numId w:val="1020"/>
        </w:numPr>
        <w:pStyle w:val="Compact"/>
      </w:pPr>
      <w:r>
        <w:t xml:space="preserve">Dr. silah aldiyn alnaahi. alwajiz fi altaaminat alshakhsiat waleiniati. dar almaerifat bighadad. 1953.</w:t>
      </w:r>
    </w:p>
    <w:p>
      <w:pPr>
        <w:numPr>
          <w:ilvl w:val="0"/>
          <w:numId w:val="1020"/>
        </w:numPr>
        <w:pStyle w:val="Compact"/>
      </w:pPr>
      <w:r>
        <w:t xml:space="preserve">Dr. tarq kazim eujyl. alhuquq aleiniat al'asliatu. aljuz' al'awlu. haqu almalakiati. dar alsnhwri. bayrut lubnan. 2019.</w:t>
      </w:r>
    </w:p>
    <w:p>
      <w:pPr>
        <w:numPr>
          <w:ilvl w:val="0"/>
          <w:numId w:val="1020"/>
        </w:numPr>
        <w:pStyle w:val="Compact"/>
      </w:pPr>
      <w:r>
        <w:t xml:space="preserve">Dr. eibad alrazaaq 'ahmad alsanhuri. alwasit fi sharah alqanun almadnii. aljuz' aleashir. altaaminat alshakhsiat waleiniati. tanqih almustashar 'ahmad madahat almaraghaa. munsha'at almaearif bial'iiskndri .2004.</w:t>
      </w:r>
    </w:p>
    <w:p>
      <w:pPr>
        <w:numPr>
          <w:ilvl w:val="0"/>
          <w:numId w:val="1020"/>
        </w:numPr>
        <w:pStyle w:val="Compact"/>
      </w:pPr>
      <w:r>
        <w:t xml:space="preserve">eibad alrazaaq alsanhuri. masadir alhaqi fi alfaqih al'iislami. aljuz' althaalithi. mahala aleuqdu. altibeat althaaniati. manshuirat alhilbii alhuquqiati. bayrut lubnan. 1998.</w:t>
      </w:r>
    </w:p>
    <w:p>
      <w:pPr>
        <w:numPr>
          <w:ilvl w:val="0"/>
          <w:numId w:val="1020"/>
        </w:numPr>
        <w:pStyle w:val="Compact"/>
      </w:pPr>
      <w:r>
        <w:t xml:space="preserve">Dr. eibad alsalam altirmanini. alqanun almuqarin almanahij alqanuniatu. jamieat matbueat alkuayta. altabeat althaaniat. 1982.</w:t>
      </w:r>
    </w:p>
    <w:p>
      <w:pPr>
        <w:numPr>
          <w:ilvl w:val="0"/>
          <w:numId w:val="1020"/>
        </w:numPr>
        <w:pStyle w:val="Compact"/>
      </w:pPr>
      <w:r>
        <w:t xml:space="preserve">Dr. eabad almajid alhakimi. almujaz fi sharah alqanun almadanii. aljuz' al'awal fi alshamal. mae almuqaranat bialfaqih al'iislami. sharikat altabe walnashr al'ahliati. bighadad. 1963.</w:t>
      </w:r>
    </w:p>
    <w:p>
      <w:pPr>
        <w:numPr>
          <w:ilvl w:val="0"/>
          <w:numId w:val="1020"/>
        </w:numPr>
        <w:pStyle w:val="Compact"/>
      </w:pPr>
      <w:r>
        <w:t xml:space="preserve">Dr. eabad almajid alhakim. alfaquh al'iislamiu walqanun almadaniu aleiraqiu. aljuz' al'awal fi aineiqad aleuqdi. sharikat altube walnashr al'ahliati. bighadad. 1967.</w:t>
      </w:r>
    </w:p>
    <w:p>
      <w:pPr>
        <w:numPr>
          <w:ilvl w:val="0"/>
          <w:numId w:val="1020"/>
        </w:numPr>
        <w:pStyle w:val="Compact"/>
      </w:pPr>
      <w:r>
        <w:t xml:space="preserve">Dr. esmt eabd almajid bikura. alwajiz fi aleuqud almadaniat almsmat bialrahnu. manshuirat zayn alhuquqiat. bayrut lubnan. 2019.</w:t>
      </w:r>
    </w:p>
    <w:p>
      <w:pPr>
        <w:numPr>
          <w:ilvl w:val="0"/>
          <w:numId w:val="1020"/>
        </w:numPr>
        <w:pStyle w:val="Compact"/>
      </w:pPr>
      <w:r>
        <w:t xml:space="preserve">Dr. esmt eabd almajid bikr, alnazariat aleamat lilailtizamat, aljuz' al'awal, almasalih, aldhaakirat lilnashr waltawzie,2011.</w:t>
      </w:r>
    </w:p>
    <w:p>
      <w:r>
        <w:pict>
          <v:rect style="width:0;height:1.5pt" o:hralign="center" o:hrstd="t" o:hr="t"/>
        </w:pict>
      </w:r>
    </w:p>
    <w:p>
      <w:pPr>
        <w:pStyle w:val="FirstParagraph"/>
      </w:pPr>
      <w:r>
        <w:t xml:space="preserve">https://scholarworks.uaeu.ac.ae/sharia_and_law/vol2022/iss91/7</w:t>
      </w:r>
    </w:p>
    <w:p>
      <w:pPr>
        <w:bidi/>
      </w:pPr>
      <w:r>
        <w:rPr>
          <w:rtl/>
        </w:rPr>
        <w:t xml:space="preserve">السنة السادسة والثلاثون - مجلة جامعة الإمارات ]</w:t>
      </w:r>
      <w:r>
        <w:rPr>
          <w:rtl/>
        </w:rPr>
        <w:t xml:space="preserve"> </w:t>
      </w:r>
      <w:r>
        <w:rPr>
          <w:rtl/>
        </w:rPr>
        <w:t xml:space="preserve">460</w:t>
      </w:r>
    </w:p>
    <w:p>
      <w:pPr>
        <w:pStyle w:val="BodyText"/>
      </w:pPr>
      <w:r>
        <w:t xml:space="preserve">54</w:t>
      </w:r>
    </w:p>
    <w:p>
      <w:r>
        <w:pict>
          <v:rect style="width:0;height:1.5pt" o:hralign="center" o:hrstd="t" o:hr="t"/>
        </w:pict>
      </w:r>
    </w:p>
    <w:p>
      <w:pPr>
        <w:pStyle w:val="FirstParagraph"/>
      </w:pPr>
      <w:r>
        <w:t xml:space="preserve">Ali: ??? ????? ?? ??????? ????????? ????? ??????? ?????? ?????? ???????? ???????? ??????? د.يونس صلاح الدين علي]</w:t>
      </w:r>
    </w:p>
    <w:p>
      <w:pPr>
        <w:numPr>
          <w:ilvl w:val="0"/>
          <w:numId w:val="1021"/>
        </w:numPr>
        <w:pStyle w:val="Compact"/>
      </w:pPr>
      <w:r>
        <w:t xml:space="preserve">muhamad th albashir wada. ghini husun th. alhuquq aleiniatu. aljuz' al'awla. alhuquq aleiniat al'asliatu. wizarat altaelim aleali. bighadad. 1982.</w:t>
      </w:r>
    </w:p>
    <w:p>
      <w:pPr>
        <w:numPr>
          <w:ilvl w:val="0"/>
          <w:numId w:val="1021"/>
        </w:numPr>
        <w:pStyle w:val="Compact"/>
      </w:pPr>
      <w:r>
        <w:t xml:space="preserve">Dr. mnsur hatim muhsin alfatlawi wazinb husayn yusif algharabi. alrasm almueadalat liathar alrahn dirasatan mqarntan mqarnt bialfaqih alaislamy. dar al'ayam lilnashr waltawzie. eamman al'urdunn. 2018.</w:t>
      </w:r>
    </w:p>
    <w:p>
      <w:pPr>
        <w:numPr>
          <w:ilvl w:val="0"/>
          <w:numId w:val="1021"/>
        </w:numPr>
        <w:pStyle w:val="Compact"/>
      </w:pPr>
      <w:r>
        <w:t xml:space="preserve">Dr. wahbat alzahili. alharf almsmat qanun almueamalat almadaniat al'iimaratii walqanun al'urduni. dar alfikr liltabaeat waltawzie walnashr dimashqa. altabeat al'uwlaa. 1987.</w:t>
      </w:r>
    </w:p>
    <w:p>
      <w:pPr>
        <w:numPr>
          <w:ilvl w:val="0"/>
          <w:numId w:val="1021"/>
        </w:numPr>
        <w:pStyle w:val="Compact"/>
      </w:pPr>
      <w:r>
        <w:t xml:space="preserve">fayiz muhamad musaa almadayinh. ghalq alrahn dirasatan mqarnt bayn alshryet al'iislamiat walqanun almadanii. risalat majstayr muqadimat 'iilaa kuliyat alhuquq jamieat alziytunat al'urduniat. 2019.</w:t>
      </w:r>
    </w:p>
    <w:p>
      <w:pPr>
        <w:numPr>
          <w:ilvl w:val="0"/>
          <w:numId w:val="1021"/>
        </w:numPr>
        <w:pStyle w:val="Compact"/>
      </w:pPr>
      <w:r>
        <w:t xml:space="preserve">salman biat. alqada' almadaniu aleiraqiu. aljuz' althaani. sharikat altabe walnashr al'ahliat. bighadad. 1962.</w:t>
      </w:r>
    </w:p>
    <w:p>
      <w:pPr>
        <w:numPr>
          <w:ilvl w:val="0"/>
          <w:numId w:val="1021"/>
        </w:numPr>
        <w:pStyle w:val="Compact"/>
      </w:pPr>
      <w:r>
        <w:t xml:space="preserve">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Start w:id="127" w:name="ثانيا-المصادر-باللغة-الإنجليزية."/>
    <w:p>
      <w:pPr>
        <w:pStyle w:val="Heading2"/>
      </w:pPr>
      <w:r>
        <w:t xml:space="preserve">ثانياً : المصادر باللغة الإنجليزية.</w:t>
      </w:r>
    </w:p>
    <w:p>
      <w:pPr>
        <w:numPr>
          <w:ilvl w:val="0"/>
          <w:numId w:val="1022"/>
        </w:numPr>
        <w:pStyle w:val="Compact"/>
      </w:pPr>
      <w:r>
        <w:rPr>
          <w:bCs/>
          <w:b/>
        </w:rPr>
        <w:t xml:space="preserve">First: Books.</w:t>
      </w:r>
    </w:p>
    <w:p>
      <w:pPr>
        <w:numPr>
          <w:ilvl w:val="0"/>
          <w:numId w:val="1022"/>
        </w:numPr>
        <w:pStyle w:val="Compact"/>
      </w:pPr>
      <w:r>
        <w:t xml:space="preserve">Alastair Hudson. Equity and Trusts. Sixth Edition. Routledge. Cavendish. Taylor &amp; Francis Group. London and New York. 2010.</w:t>
      </w:r>
    </w:p>
    <w:p>
      <w:pPr>
        <w:numPr>
          <w:ilvl w:val="0"/>
          <w:numId w:val="1022"/>
        </w:numPr>
        <w:pStyle w:val="Compact"/>
      </w:pPr>
      <w:r>
        <w:t xml:space="preserve">Alison Clarke &amp; Paul Kohler. Property Law, Commentary and Materials. First Edition. Cambridge University Press. 2005.</w:t>
      </w:r>
    </w:p>
    <w:p>
      <w:pPr>
        <w:numPr>
          <w:ilvl w:val="0"/>
          <w:numId w:val="1022"/>
        </w:numPr>
        <w:pStyle w:val="Compact"/>
      </w:pPr>
      <w:r>
        <w:t xml:space="preserve">Barlow Burke and Joseph Snoe. Property, Examples and Explanations. Fifth Edition. Wolters Kluwer. New York. 2016.</w:t>
      </w:r>
    </w:p>
    <w:p>
      <w:pPr>
        <w:numPr>
          <w:ilvl w:val="0"/>
          <w:numId w:val="1022"/>
        </w:numPr>
        <w:pStyle w:val="Compact"/>
      </w:pPr>
      <w:r>
        <w:t xml:space="preserve">Ben McFarlane, Nicholas Hopkins, and Sarah Nield. Land Law Text cases and Materials. Oxford University Press. Second Edition. 2012.</w:t>
      </w:r>
    </w:p>
    <w:p>
      <w:pPr>
        <w:numPr>
          <w:ilvl w:val="0"/>
          <w:numId w:val="1022"/>
        </w:numPr>
        <w:pStyle w:val="Compact"/>
      </w:pPr>
      <w:r>
        <w:t xml:space="preserve">Chris Davies. Property Law Guidebook. Second Edition. Oxford University Press. 2015.</w:t>
      </w:r>
    </w:p>
    <w:p>
      <w:pPr>
        <w:numPr>
          <w:ilvl w:val="0"/>
          <w:numId w:val="1022"/>
        </w:numPr>
        <w:pStyle w:val="Compact"/>
      </w:pPr>
      <w:r>
        <w:t xml:space="preserve">Daniel F. Hinkel. Practical Real Estate Law. Fifth Edition. West Legal Studies. New York. 2008.</w:t>
      </w:r>
    </w:p>
    <w:p>
      <w:pPr>
        <w:numPr>
          <w:ilvl w:val="0"/>
          <w:numId w:val="1022"/>
        </w:numPr>
        <w:pStyle w:val="Compact"/>
      </w:pPr>
      <w:r>
        <w:t xml:space="preserve">Diane Chappelle. Land Law. Eighth Edition. Pearson Education</w:t>
      </w:r>
    </w:p>
    <w:p>
      <w:pPr>
        <w:pStyle w:val="FirstParagraph"/>
      </w:pPr>
      <w:r>
        <w:t xml:space="preserve">461</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55</w:t>
      </w:r>
    </w:p>
    <w:p>
      <w:r>
        <w:pict>
          <v:rect style="width:0;height:1.5pt" o:hralign="center" o:hrstd="t" o:hr="t"/>
        </w:pict>
      </w:r>
    </w:p>
    <w:p>
      <w:pPr>
        <w:pStyle w:val="FirstParagraph"/>
      </w:pPr>
      <w: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numPr>
          <w:ilvl w:val="0"/>
          <w:numId w:val="1023"/>
        </w:numPr>
        <w:pStyle w:val="Compact"/>
      </w:pPr>
      <w:r>
        <w:t xml:space="preserve">Limited, Longman. 2008.</w:t>
      </w:r>
    </w:p>
    <w:p>
      <w:pPr>
        <w:numPr>
          <w:ilvl w:val="0"/>
          <w:numId w:val="1023"/>
        </w:numPr>
        <w:pStyle w:val="Compact"/>
      </w:pPr>
      <w:r>
        <w:t xml:space="preserve">Douglas Wood. Law and the Built Environment. First Edition.</w:t>
      </w:r>
      <w:r>
        <w:t xml:space="preserve"> </w:t>
      </w:r>
      <w:r>
        <w:t xml:space="preserve">MACMILLAN PRESS LTD.London. 1999.</w:t>
      </w:r>
    </w:p>
    <w:p>
      <w:pPr>
        <w:numPr>
          <w:ilvl w:val="0"/>
          <w:numId w:val="1023"/>
        </w:numPr>
        <w:pStyle w:val="Compact"/>
      </w:pPr>
      <w:r>
        <w:t xml:space="preserve">Edmund H. Bennett &amp; Chauncey Smith, EsQrs. English Report in</w:t>
      </w:r>
      <w:r>
        <w:t xml:space="preserve"> </w:t>
      </w:r>
      <w:r>
        <w:t xml:space="preserve">Law And Equity. Containing reports of Cases in the House of</w:t>
      </w:r>
      <w:r>
        <w:t xml:space="preserve"> </w:t>
      </w:r>
      <w:r>
        <w:t xml:space="preserve">lords, Privy Council, Courts of Equity and Common Law. And in</w:t>
      </w:r>
      <w:r>
        <w:t xml:space="preserve"> </w:t>
      </w:r>
      <w:r>
        <w:t xml:space="preserve">the Admiralty and Ecclesiastical Courts, Included Also Cases in</w:t>
      </w:r>
      <w:r>
        <w:t xml:space="preserve"> </w:t>
      </w:r>
      <w:r>
        <w:t xml:space="preserve">Bankruptcy and Crown cases Reserved. Volume 3, CHARLES C,</w:t>
      </w:r>
      <w:r>
        <w:t xml:space="preserve"> </w:t>
      </w:r>
      <w:r>
        <w:t xml:space="preserve">LITTLE AND JAMES BROWN. 1851.</w:t>
      </w:r>
    </w:p>
    <w:p>
      <w:pPr>
        <w:numPr>
          <w:ilvl w:val="0"/>
          <w:numId w:val="1023"/>
        </w:numPr>
        <w:pStyle w:val="Compact"/>
      </w:pPr>
      <w:r>
        <w:t xml:space="preserve">E. H Burn and J. Cartwright. Cheshire and Burn's Modern law of</w:t>
      </w:r>
      <w:r>
        <w:t xml:space="preserve"> </w:t>
      </w:r>
      <w:r>
        <w:t xml:space="preserve">Real Property. Seventeenth Edition. Oxford University Press.</w:t>
      </w:r>
      <w:r>
        <w:t xml:space="preserve"> </w:t>
      </w:r>
      <w:r>
        <w:t xml:space="preserve">2006.</w:t>
      </w:r>
    </w:p>
    <w:p>
      <w:pPr>
        <w:numPr>
          <w:ilvl w:val="0"/>
          <w:numId w:val="1023"/>
        </w:numPr>
        <w:pStyle w:val="Compact"/>
      </w:pPr>
      <w:r>
        <w:t xml:space="preserve">Elizabeth Cooke. The New Law of Land Registration. Hart</w:t>
      </w:r>
      <w:r>
        <w:t xml:space="preserve"> </w:t>
      </w:r>
      <w:r>
        <w:t xml:space="preserve">Publishing. 2003.</w:t>
      </w:r>
    </w:p>
    <w:p>
      <w:pPr>
        <w:numPr>
          <w:ilvl w:val="0"/>
          <w:numId w:val="1023"/>
        </w:numPr>
        <w:pStyle w:val="Compact"/>
      </w:pPr>
      <w:r>
        <w:t xml:space="preserve">Elizabeth Cooke. Modern Studies in Property Law. Volume 4.</w:t>
      </w:r>
      <w:r>
        <w:t xml:space="preserve"> </w:t>
      </w:r>
      <w:r>
        <w:t xml:space="preserve">HART Publishing. 2007.</w:t>
      </w:r>
    </w:p>
    <w:p>
      <w:pPr>
        <w:numPr>
          <w:ilvl w:val="0"/>
          <w:numId w:val="1023"/>
        </w:numPr>
        <w:pStyle w:val="Compact"/>
      </w:pPr>
      <w:r>
        <w:t xml:space="preserve">James Karp &amp; Elliot Klayman. Real Estate Law. Fifth Edition.</w:t>
      </w:r>
      <w:r>
        <w:t xml:space="preserve"> </w:t>
      </w:r>
      <w:r>
        <w:t xml:space="preserve">Dearborn Financial Publishing Inc. 2003 .</w:t>
      </w:r>
    </w:p>
    <w:p>
      <w:pPr>
        <w:numPr>
          <w:ilvl w:val="0"/>
          <w:numId w:val="1023"/>
        </w:numPr>
        <w:pStyle w:val="Compact"/>
      </w:pPr>
      <w:r>
        <w:t xml:space="preserve">John Duddington. Land Law. Third Edition. Longman, Pearson</w:t>
      </w:r>
      <w:r>
        <w:t xml:space="preserve"> </w:t>
      </w:r>
      <w:r>
        <w:t xml:space="preserve">Education Limited. London. 2011.</w:t>
      </w:r>
    </w:p>
    <w:p>
      <w:pPr>
        <w:numPr>
          <w:ilvl w:val="0"/>
          <w:numId w:val="1023"/>
        </w:numPr>
        <w:pStyle w:val="Compact"/>
      </w:pPr>
      <w:r>
        <w:t xml:space="preserve">John Wilman. Brown: GCSE Law. Ninth Edition. Thomson Sweet</w:t>
      </w:r>
      <w:r>
        <w:t xml:space="preserve"> </w:t>
      </w:r>
      <w:r>
        <w:t xml:space="preserve">&amp; Maxwell, 2005.</w:t>
      </w:r>
    </w:p>
    <w:p>
      <w:pPr>
        <w:numPr>
          <w:ilvl w:val="0"/>
          <w:numId w:val="1023"/>
        </w:numPr>
        <w:pStyle w:val="Compact"/>
      </w:pPr>
      <w:r>
        <w:t xml:space="preserve">Kate Green. Land Law. Third Edition. MACMILLAN LAW</w:t>
      </w:r>
      <w:r>
        <w:t xml:space="preserve"> </w:t>
      </w:r>
      <w:r>
        <w:t xml:space="preserve">MASTERS. 1997.</w:t>
      </w:r>
    </w:p>
    <w:p>
      <w:pPr>
        <w:numPr>
          <w:ilvl w:val="0"/>
          <w:numId w:val="1023"/>
        </w:numPr>
        <w:pStyle w:val="Compact"/>
      </w:pPr>
      <w:r>
        <w:t xml:space="preserve">Kevin Gray and Susan Francis Gray. Elements of Land Law. Fifth</w:t>
      </w:r>
      <w:r>
        <w:t xml:space="preserve"> </w:t>
      </w:r>
      <w:r>
        <w:t xml:space="preserve">Edition. Oxford University Press. 2009.</w:t>
      </w:r>
    </w:p>
    <w:p>
      <w:pPr>
        <w:numPr>
          <w:ilvl w:val="0"/>
          <w:numId w:val="1023"/>
        </w:numPr>
        <w:pStyle w:val="Compact"/>
      </w:pPr>
      <w:r>
        <w:t xml:space="preserve">Louise Tee. Land Law. Issues Debates, Policy. Routledge Taylor &amp;</w:t>
      </w:r>
      <w:r>
        <w:t xml:space="preserve"> </w:t>
      </w:r>
      <w:r>
        <w:t xml:space="preserve">Francis Group. London. 2014.</w:t>
      </w:r>
    </w:p>
    <w:p>
      <w:pPr>
        <w:numPr>
          <w:ilvl w:val="0"/>
          <w:numId w:val="1023"/>
        </w:numPr>
        <w:pStyle w:val="Compact"/>
      </w:pPr>
      <w:r>
        <w:t xml:space="preserve">Lynn T. Slossberg. The Essentials of Real Estate Law. Third</w:t>
      </w:r>
      <w:r>
        <w:t xml:space="preserve"> </w:t>
      </w:r>
      <w:r>
        <w:t xml:space="preserve">Edition. CENGAGE Learning. 2015.</w:t>
      </w:r>
    </w:p>
    <w:p>
      <w:pPr>
        <w:numPr>
          <w:ilvl w:val="0"/>
          <w:numId w:val="1023"/>
        </w:numPr>
        <w:pStyle w:val="Compact"/>
      </w:pPr>
      <w:r>
        <w:t xml:space="preserve">Martin Dixon. Principles of Land Law. Fourth Edition. Cavendish</w:t>
      </w:r>
      <w:r>
        <w:t xml:space="preserve"> </w:t>
      </w:r>
      <w:r>
        <w:t xml:space="preserve">Publishing Limited. London. 2002.</w:t>
      </w:r>
    </w:p>
    <w:p>
      <w:pPr>
        <w:numPr>
          <w:ilvl w:val="0"/>
          <w:numId w:val="1023"/>
        </w:numPr>
        <w:pStyle w:val="Compact"/>
      </w:pPr>
      <w:r>
        <w:t xml:space="preserve">Martin Dixon. Modern Land Law. seventh Edition. Routledge</w:t>
      </w:r>
      <w:r>
        <w:t xml:space="preserve"> </w:t>
      </w:r>
      <w:r>
        <w:t xml:space="preserve">Taylor &amp; Francis Group. London and New York. 2010.</w:t>
      </w:r>
    </w:p>
    <w:p>
      <w:r>
        <w:pict>
          <v:rect style="width:0;height:1.5pt" o:hralign="center" o:hrstd="t" o:hr="t"/>
        </w:pict>
      </w:r>
    </w:p>
    <w:p>
      <w:pPr>
        <w:bidi/>
      </w:pPr>
      <w:r>
        <w:rPr>
          <w:rtl/>
        </w:rPr>
        <w:t xml:space="preserve">السنة السادسة والثلاثون - مجلة جامعة الإمارات ]</w:t>
      </w:r>
    </w:p>
    <w:p>
      <w:pPr>
        <w:pStyle w:val="BodyText"/>
      </w:pPr>
      <w:r>
        <w:t xml:space="preserve">462</w:t>
      </w:r>
    </w:p>
    <w:p>
      <w:pPr>
        <w:pStyle w:val="BodyText"/>
      </w:pPr>
      <w:r>
        <w:t xml:space="preserve">https://scholarworks.uaeu.ac.ae/sharia_and_law/vol2022/iss91/7</w:t>
      </w:r>
    </w:p>
    <w:p>
      <w:pPr>
        <w:pStyle w:val="BodyText"/>
      </w:pPr>
      <w:r>
        <w:t xml:space="preserve">56</w:t>
      </w:r>
    </w:p>
    <w:p>
      <w:r>
        <w:pict>
          <v:rect style="width:0;height:1.5pt" o:hralign="center" o:hrstd="t" o:hr="t"/>
        </w:pict>
      </w:r>
    </w:p>
    <w:p>
      <w:pPr>
        <w:pStyle w:val="FirstParagraph"/>
      </w:pPr>
      <w:r>
        <w:t xml:space="preserve">Ali: ??? ????? ?? ??????? ????????? ????? ??????? ?????? ?????? ???????? ???????? ???????</w:t>
      </w:r>
      <w:r>
        <w:br/>
      </w:r>
      <w:r>
        <w:rPr>
          <w:rtl/>
        </w:rPr>
        <w:t xml:space="preserve">د.يونس صلاح الدين علي]</w:t>
      </w:r>
    </w:p>
    <w:p>
      <w:pPr>
        <w:numPr>
          <w:ilvl w:val="0"/>
          <w:numId w:val="1024"/>
        </w:numPr>
        <w:pStyle w:val="Compact"/>
      </w:pPr>
      <w:r>
        <w:t xml:space="preserve">Michael Bridge. Personal Property Law. Fourth Edition. Oxford University Press. 2015.</w:t>
      </w:r>
    </w:p>
    <w:p>
      <w:pPr>
        <w:numPr>
          <w:ilvl w:val="0"/>
          <w:numId w:val="1024"/>
        </w:numPr>
        <w:pStyle w:val="Compact"/>
      </w:pPr>
      <w:r>
        <w:t xml:space="preserve">Pamela Rajapakse, Shanuka Senarath. Commercial Law Aspects of Residential Mortgage Securitisation in Australia. Palgrave Macmillan.2019.P.69.</w:t>
      </w:r>
    </w:p>
    <w:p>
      <w:pPr>
        <w:numPr>
          <w:ilvl w:val="0"/>
          <w:numId w:val="1024"/>
        </w:numPr>
        <w:pStyle w:val="Compact"/>
      </w:pPr>
      <w:r>
        <w:t xml:space="preserve">Peter Sparkes. A New Land Law. Second Edition. Hart Publishing. Portland, Oregon. 2003.</w:t>
      </w:r>
    </w:p>
    <w:p>
      <w:pPr>
        <w:numPr>
          <w:ilvl w:val="0"/>
          <w:numId w:val="1024"/>
        </w:numPr>
        <w:pStyle w:val="Compact"/>
      </w:pPr>
      <w:r>
        <w:t xml:space="preserve">Richard Card. John Murdoch, Sandi Murdoch. Real Estate Management Law. Seventh Edition. Oxford University Press.2011.</w:t>
      </w:r>
    </w:p>
    <w:p>
      <w:pPr>
        <w:numPr>
          <w:ilvl w:val="0"/>
          <w:numId w:val="1024"/>
        </w:numPr>
        <w:pStyle w:val="Compact"/>
      </w:pPr>
      <w:r>
        <w:t xml:space="preserve">Rojer J. Smith. Property Law. Eighth Edition.PEARSON Education Limited. London. 2014.</w:t>
      </w:r>
    </w:p>
    <w:p>
      <w:pPr>
        <w:numPr>
          <w:ilvl w:val="0"/>
          <w:numId w:val="1024"/>
        </w:numPr>
        <w:pStyle w:val="Compact"/>
      </w:pPr>
      <w:r>
        <w:t xml:space="preserve">Rojer J. Smith. Property Law: Cases and Materials. Fifth Edition. Pearson Education Limited. Essex England. 2012.</w:t>
      </w:r>
    </w:p>
    <w:p>
      <w:pPr>
        <w:numPr>
          <w:ilvl w:val="0"/>
          <w:numId w:val="1024"/>
        </w:numPr>
        <w:pStyle w:val="Compact"/>
      </w:pPr>
      <w:r>
        <w:t xml:space="preserve">Rojer J. Smith. Introduction to Land Law. Second Edition. Longman Pearson Education Limited. 2010.</w:t>
      </w:r>
    </w:p>
    <w:p>
      <w:pPr>
        <w:numPr>
          <w:ilvl w:val="0"/>
          <w:numId w:val="1024"/>
        </w:numPr>
        <w:pStyle w:val="Compact"/>
      </w:pPr>
      <w:r>
        <w:t xml:space="preserve">Samantha Hepburn. Principles Of Property Law. Second Edition. Cavendish Publishing. London. 2001.</w:t>
      </w:r>
    </w:p>
    <w:p>
      <w:pPr>
        <w:numPr>
          <w:ilvl w:val="0"/>
          <w:numId w:val="1024"/>
        </w:numPr>
        <w:pStyle w:val="Compact"/>
      </w:pPr>
      <w:r>
        <w:t xml:space="preserve">Steven L. Emanuel. Emanuel law outlines. Property. Ninth Edition. Wolters Kluwer. New York.2017.</w:t>
      </w:r>
    </w:p>
    <w:bookmarkStart w:id="124" w:name="second-laws"/>
    <w:p>
      <w:pPr>
        <w:pStyle w:val="Heading3"/>
      </w:pPr>
      <w:r>
        <w:t xml:space="preserve">32) Second: Laws</w:t>
      </w:r>
    </w:p>
    <w:p>
      <w:pPr>
        <w:numPr>
          <w:ilvl w:val="0"/>
          <w:numId w:val="1025"/>
        </w:numPr>
        <w:pStyle w:val="Compact"/>
      </w:pPr>
      <w:r>
        <w:t xml:space="preserve">The Housing Act 1996.</w:t>
      </w:r>
    </w:p>
    <w:p>
      <w:pPr>
        <w:numPr>
          <w:ilvl w:val="0"/>
          <w:numId w:val="1025"/>
        </w:numPr>
        <w:pStyle w:val="Compact"/>
      </w:pPr>
      <w:r>
        <w:t xml:space="preserve">The Land Registration Act 1925.</w:t>
      </w:r>
    </w:p>
    <w:p>
      <w:pPr>
        <w:numPr>
          <w:ilvl w:val="0"/>
          <w:numId w:val="1025"/>
        </w:numPr>
        <w:pStyle w:val="Compact"/>
      </w:pPr>
      <w:r>
        <w:t xml:space="preserve">The law of property Act 1925.</w:t>
      </w:r>
    </w:p>
    <w:p>
      <w:pPr>
        <w:numPr>
          <w:ilvl w:val="0"/>
          <w:numId w:val="1025"/>
        </w:numPr>
        <w:pStyle w:val="Compact"/>
      </w:pPr>
      <w:r>
        <w:t xml:space="preserve">The Settled Land Act 1925.</w:t>
      </w:r>
    </w:p>
    <w:p>
      <w:pPr>
        <w:numPr>
          <w:ilvl w:val="0"/>
          <w:numId w:val="1025"/>
        </w:numPr>
        <w:pStyle w:val="Compact"/>
      </w:pPr>
      <w:r>
        <w:t xml:space="preserve">The Trusts of Land and Appointment of Trustees Act 1996.</w:t>
      </w:r>
    </w:p>
    <w:bookmarkEnd w:id="124"/>
    <w:bookmarkStart w:id="125" w:name="third-legal-studies-pieces-of-research"/>
    <w:p>
      <w:pPr>
        <w:pStyle w:val="Heading3"/>
      </w:pPr>
      <w:r>
        <w:t xml:space="preserve">38) Third: legal studies&amp; pieces of research</w:t>
      </w:r>
    </w:p>
    <w:p>
      <w:pPr>
        <w:numPr>
          <w:ilvl w:val="0"/>
          <w:numId w:val="1026"/>
        </w:numPr>
        <w:pStyle w:val="Compact"/>
      </w:pPr>
      <w:r>
        <w:t xml:space="preserve">Dan E. Stigall. Iraqi Civil Law: Its Sources, Substance, and Sundering. Journal of Transnational Law &amp; Policy. Volume 16. Number 1.2006.</w:t>
      </w:r>
    </w:p>
    <w:bookmarkEnd w:id="125"/>
    <w:bookmarkStart w:id="126" w:name="fourth-internet-websites"/>
    <w:p>
      <w:pPr>
        <w:pStyle w:val="Heading3"/>
      </w:pPr>
      <w:r>
        <w:t xml:space="preserve">39) Fourth: Internet websites</w:t>
      </w:r>
    </w:p>
    <w:p>
      <w:pPr>
        <w:numPr>
          <w:ilvl w:val="0"/>
          <w:numId w:val="1027"/>
        </w:numPr>
        <w:pStyle w:val="Compact"/>
      </w:pPr>
      <w:r>
        <w:t xml:space="preserve">https://swarb.co.uk/first-national-securities-v-hegerty-ca-1984/</w:t>
      </w:r>
    </w:p>
    <w:p>
      <w:pPr>
        <w:numPr>
          <w:ilvl w:val="0"/>
          <w:numId w:val="1027"/>
        </w:numPr>
        <w:pStyle w:val="Compact"/>
      </w:pPr>
      <w:r>
        <w:t xml:space="preserve">https://www.lawteacher.net/cases/palk-v-mortgage-services.php</w:t>
      </w:r>
    </w:p>
    <w:p>
      <w:pPr>
        <w:numPr>
          <w:ilvl w:val="0"/>
          <w:numId w:val="1027"/>
        </w:numPr>
        <w:pStyle w:val="Compact"/>
      </w:pPr>
      <w:r>
        <w:t xml:space="preserve">https://swarb.co.uk/twentieth-century-banking-corporation-ltd-v-</w:t>
      </w:r>
    </w:p>
    <w:p>
      <w:pPr>
        <w:pStyle w:val="FirstParagraph"/>
      </w:pPr>
      <w:r>
        <w:t xml:space="preserve">463</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57</w:t>
      </w:r>
    </w:p>
    <w:p>
      <w:r>
        <w:pict>
          <v:rect style="width:0;height:1.5pt" o:hralign="center" o:hrstd="t" o:hr="t"/>
        </w:pict>
      </w:r>
    </w:p>
    <w:p>
      <w:pPr>
        <w:pStyle w:val="FirstParagraph"/>
      </w:pPr>
      <w:r>
        <w:t xml:space="preserve">Journal Sharia and Law, Vol. 2022, No. 91 [2022], Art. 7</w:t>
      </w:r>
    </w:p>
    <w:bookmarkEnd w:id="126"/>
    <w:bookmarkEnd w:id="127"/>
    <w:bookmarkEnd w:id="128"/>
    <w:bookmarkStart w:id="131" w:name="Xdd05cc27f434af8f5ae0b993af2b86bff6fcb52"/>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wilkinson-chd-1977/</w:t>
      </w:r>
    </w:p>
    <w:p>
      <w:pPr>
        <w:numPr>
          <w:ilvl w:val="0"/>
          <w:numId w:val="1028"/>
        </w:numPr>
        <w:pStyle w:val="Compact"/>
      </w:pPr>
      <w:hyperlink r:id="rId129">
        <w:r>
          <w:rPr>
            <w:rStyle w:val="Hyperlink"/>
          </w:rPr>
          <w:t xml:space="preserve">https://quizlet.com/12183004/mortgages-flash-cards/</w:t>
        </w:r>
      </w:hyperlink>
    </w:p>
    <w:p>
      <w:pPr>
        <w:numPr>
          <w:ilvl w:val="0"/>
          <w:numId w:val="1028"/>
        </w:numPr>
        <w:pStyle w:val="Compact"/>
      </w:pPr>
      <w:hyperlink r:id="rId130">
        <w:r>
          <w:rPr>
            <w:rStyle w:val="Hyperlink"/>
          </w:rPr>
          <w:t xml:space="preserve">https://en.m.wikipedia.org/wiki/Equitable_right</w:t>
        </w:r>
      </w:hyperlink>
    </w:p>
    <w:p>
      <w:r>
        <w:pict>
          <v:rect style="width:0;height:1.5pt" o:hralign="center" o:hrstd="t" o:hr="t"/>
        </w:pict>
      </w:r>
    </w:p>
    <w:p>
      <w:pPr>
        <w:bidi/>
      </w:pPr>
      <w:r>
        <w:rPr>
          <w:rtl/>
        </w:rPr>
        <w:t xml:space="preserve">السنة السادسة والثلاثون - مجلة جامعة الإمارات ] 464</w:t>
      </w:r>
    </w:p>
    <w:p>
      <w:pPr>
        <w:pStyle w:val="BodyText"/>
      </w:pPr>
      <w:hyperlink r:id="rId24">
        <w:r>
          <w:rPr>
            <w:rStyle w:val="Hyperlink"/>
          </w:rPr>
          <w:t xml:space="preserve">https://scholarworks.uaeu.ac.ae/sharia_and_law/vol2022/iss91/7</w:t>
        </w:r>
      </w:hyperlink>
    </w:p>
    <w:p>
      <w:pPr>
        <w:pStyle w:val="BodyText"/>
      </w:pPr>
      <w:r>
        <w:t xml:space="preserve">58</w:t>
      </w:r>
    </w:p>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11">
    <w:nsid w:val="A992011"/>
    <w:multiLevelType w:val="multilevel"/>
    <w:lvl w:ilvl="0">
      <w:start w:val="11"/>
      <w:numFmt w:val="decimal"/>
      <w:lvlText w:val="%1."/>
      <w:lvlJc w:val="left"/>
      <w:pPr>
        <w:ind w:left="720" w:hanging="480"/>
      </w:pPr>
    </w:lvl>
    <w:lvl w:ilvl="1">
      <w:start w:val="11"/>
      <w:numFmt w:val="lowerLetter"/>
      <w:lvlText w:val="%2."/>
      <w:lvlJc w:val="left"/>
      <w:pPr>
        <w:ind w:left="1440" w:hanging="480"/>
      </w:pPr>
    </w:lvl>
    <w:lvl w:ilvl="2">
      <w:start w:val="11"/>
      <w:numFmt w:val="lowerRoman"/>
      <w:lvlText w:val="%3."/>
      <w:lvlJc w:val="left"/>
      <w:pPr>
        <w:ind w:left="2160" w:hanging="480"/>
      </w:pPr>
    </w:lvl>
    <w:lvl w:ilvl="3">
      <w:start w:val="11"/>
      <w:numFmt w:val="decimal"/>
      <w:lvlText w:val="%4."/>
      <w:lvlJc w:val="left"/>
      <w:pPr>
        <w:ind w:left="2880" w:hanging="480"/>
      </w:pPr>
    </w:lvl>
    <w:lvl w:ilvl="4">
      <w:start w:val="11"/>
      <w:numFmt w:val="lowerLetter"/>
      <w:lvlText w:val="%5."/>
      <w:lvlJc w:val="left"/>
      <w:pPr>
        <w:ind w:left="3600" w:hanging="480"/>
      </w:pPr>
    </w:lvl>
    <w:lvl w:ilvl="5">
      <w:start w:val="11"/>
      <w:numFmt w:val="lowerRoman"/>
      <w:lvlText w:val="%6."/>
      <w:lvlJc w:val="left"/>
      <w:pPr>
        <w:ind w:left="4320" w:hanging="480"/>
      </w:pPr>
    </w:lvl>
    <w:lvl w:ilvl="6">
      <w:start w:val="11"/>
      <w:numFmt w:val="decimal"/>
      <w:lvlText w:val="%7."/>
      <w:lvlJc w:val="left"/>
      <w:pPr>
        <w:ind w:left="5040" w:hanging="480"/>
      </w:pPr>
    </w:lvl>
    <w:lvl w:ilvl="7">
      <w:start w:val="11"/>
      <w:numFmt w:val="lowerLetter"/>
      <w:lvlText w:val="%8."/>
      <w:lvlJc w:val="left"/>
      <w:pPr>
        <w:ind w:left="5760" w:hanging="480"/>
      </w:pPr>
    </w:lvl>
    <w:lvl w:ilvl="8">
      <w:start w:val="11"/>
      <w:numFmt w:val="lowerRoman"/>
      <w:lvlText w:val="%9."/>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27">
    <w:nsid w:val="A992027"/>
    <w:multiLevelType w:val="multilevel"/>
    <w:lvl w:ilvl="0">
      <w:start w:val="27"/>
      <w:numFmt w:val="decimal"/>
      <w:lvlText w:val="%1."/>
      <w:lvlJc w:val="left"/>
      <w:pPr>
        <w:ind w:left="720" w:hanging="480"/>
      </w:pPr>
    </w:lvl>
    <w:lvl w:ilvl="1">
      <w:start w:val="27"/>
      <w:numFmt w:val="lowerLetter"/>
      <w:lvlText w:val="%2."/>
      <w:lvlJc w:val="left"/>
      <w:pPr>
        <w:ind w:left="1440" w:hanging="480"/>
      </w:pPr>
    </w:lvl>
    <w:lvl w:ilvl="2">
      <w:start w:val="27"/>
      <w:numFmt w:val="lowerRoman"/>
      <w:lvlText w:val="%3."/>
      <w:lvlJc w:val="left"/>
      <w:pPr>
        <w:ind w:left="2160" w:hanging="480"/>
      </w:pPr>
    </w:lvl>
    <w:lvl w:ilvl="3">
      <w:start w:val="27"/>
      <w:numFmt w:val="decimal"/>
      <w:lvlText w:val="%4."/>
      <w:lvlJc w:val="left"/>
      <w:pPr>
        <w:ind w:left="2880" w:hanging="480"/>
      </w:pPr>
    </w:lvl>
    <w:lvl w:ilvl="4">
      <w:start w:val="27"/>
      <w:numFmt w:val="lowerLetter"/>
      <w:lvlText w:val="%5."/>
      <w:lvlJc w:val="left"/>
      <w:pPr>
        <w:ind w:left="3600" w:hanging="480"/>
      </w:pPr>
    </w:lvl>
    <w:lvl w:ilvl="5">
      <w:start w:val="27"/>
      <w:numFmt w:val="lowerRoman"/>
      <w:lvlText w:val="%6."/>
      <w:lvlJc w:val="left"/>
      <w:pPr>
        <w:ind w:left="4320" w:hanging="480"/>
      </w:pPr>
    </w:lvl>
    <w:lvl w:ilvl="6">
      <w:start w:val="27"/>
      <w:numFmt w:val="decimal"/>
      <w:lvlText w:val="%7."/>
      <w:lvlJc w:val="left"/>
      <w:pPr>
        <w:ind w:left="5040" w:hanging="480"/>
      </w:pPr>
    </w:lvl>
    <w:lvl w:ilvl="7">
      <w:start w:val="27"/>
      <w:numFmt w:val="lowerLetter"/>
      <w:lvlText w:val="%8."/>
      <w:lvlJc w:val="left"/>
      <w:pPr>
        <w:ind w:left="5760" w:hanging="480"/>
      </w:pPr>
    </w:lvl>
    <w:lvl w:ilvl="8">
      <w:start w:val="27"/>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abstractNum w:abstractNumId="992043">
    <w:nsid w:val="A992043"/>
    <w:multiLevelType w:val="multilevel"/>
    <w:lvl w:ilvl="0">
      <w:start w:val="43"/>
      <w:numFmt w:val="decimal"/>
      <w:lvlText w:val="%1."/>
      <w:lvlJc w:val="left"/>
      <w:pPr>
        <w:ind w:left="720" w:hanging="480"/>
      </w:pPr>
    </w:lvl>
    <w:lvl w:ilvl="1">
      <w:start w:val="43"/>
      <w:numFmt w:val="lowerLetter"/>
      <w:lvlText w:val="%2."/>
      <w:lvlJc w:val="left"/>
      <w:pPr>
        <w:ind w:left="1440" w:hanging="480"/>
      </w:pPr>
    </w:lvl>
    <w:lvl w:ilvl="2">
      <w:start w:val="43"/>
      <w:numFmt w:val="lowerRoman"/>
      <w:lvlText w:val="%3."/>
      <w:lvlJc w:val="left"/>
      <w:pPr>
        <w:ind w:left="2160" w:hanging="480"/>
      </w:pPr>
    </w:lvl>
    <w:lvl w:ilvl="3">
      <w:start w:val="43"/>
      <w:numFmt w:val="decimal"/>
      <w:lvlText w:val="%4."/>
      <w:lvlJc w:val="left"/>
      <w:pPr>
        <w:ind w:left="2880" w:hanging="480"/>
      </w:pPr>
    </w:lvl>
    <w:lvl w:ilvl="4">
      <w:start w:val="43"/>
      <w:numFmt w:val="lowerLetter"/>
      <w:lvlText w:val="%5."/>
      <w:lvlJc w:val="left"/>
      <w:pPr>
        <w:ind w:left="3600" w:hanging="480"/>
      </w:pPr>
    </w:lvl>
    <w:lvl w:ilvl="5">
      <w:start w:val="43"/>
      <w:numFmt w:val="lowerRoman"/>
      <w:lvlText w:val="%6."/>
      <w:lvlJc w:val="left"/>
      <w:pPr>
        <w:ind w:left="4320" w:hanging="480"/>
      </w:pPr>
    </w:lvl>
    <w:lvl w:ilvl="6">
      <w:start w:val="43"/>
      <w:numFmt w:val="decimal"/>
      <w:lvlText w:val="%7."/>
      <w:lvlJc w:val="left"/>
      <w:pPr>
        <w:ind w:left="5040" w:hanging="480"/>
      </w:pPr>
    </w:lvl>
    <w:lvl w:ilvl="7">
      <w:start w:val="43"/>
      <w:numFmt w:val="lowerLetter"/>
      <w:lvlText w:val="%8."/>
      <w:lvlJc w:val="left"/>
      <w:pPr>
        <w:ind w:left="5760" w:hanging="480"/>
      </w:pPr>
    </w:lvl>
    <w:lvl w:ilvl="8">
      <w:start w:val="43"/>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1">
    <w:abstractNumId w:val="9920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4">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6">
    <w:abstractNumId w:val="991"/>
  </w:num>
  <w:num w:numId="1027">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8">
    <w:abstractNumId w:val="9920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130" Target="https://en.m.wikipedia.org/wiki/Equitable_right" TargetMode="External" /><Relationship Type="http://schemas.openxmlformats.org/officeDocument/2006/relationships/hyperlink" Id="rId129" Target="https://quizlet.com/12183004/mortgages-flash-cards/" TargetMode="External" /><Relationship Type="http://schemas.openxmlformats.org/officeDocument/2006/relationships/hyperlink" Id="rId20" Target="https://scholarworks.uaeu.ac.ae/sharia_and_law" TargetMode="External" /><Relationship Type="http://schemas.openxmlformats.org/officeDocument/2006/relationships/hyperlink" Id="rId24" Target="https://scholarworks.uaeu.ac.ae/sharia_and_law/vol2022/iss91/7" TargetMode="External" /><Relationship Type="http://schemas.openxmlformats.org/officeDocument/2006/relationships/hyperlink" Id="rId25" Target="mailto:sljournal@uaeu.ac.ae" TargetMode="External" /></Relationships>
</file>

<file path=word/_rels/footnotes.xml.rels><?xml version="1.0" encoding="UTF-8"?><Relationships xmlns="http://schemas.openxmlformats.org/package/2006/relationships"><Relationship Type="http://schemas.openxmlformats.org/officeDocument/2006/relationships/hyperlink" Id="rId130" Target="https://en.m.wikipedia.org/wiki/Equitable_right" TargetMode="External" /><Relationship Type="http://schemas.openxmlformats.org/officeDocument/2006/relationships/hyperlink" Id="rId129" Target="https://quizlet.com/12183004/mortgages-flash-cards/" TargetMode="External" /><Relationship Type="http://schemas.openxmlformats.org/officeDocument/2006/relationships/hyperlink" Id="rId20" Target="https://scholarworks.uaeu.ac.ae/sharia_and_law" TargetMode="External" /><Relationship Type="http://schemas.openxmlformats.org/officeDocument/2006/relationships/hyperlink" Id="rId24" Target="https://scholarworks.uaeu.ac.ae/sharia_and_law/vol2022/iss91/7" TargetMode="External" /><Relationship Type="http://schemas.openxmlformats.org/officeDocument/2006/relationships/hyperlink" Id="rId25" Target="mailto:sljournal@uaeu.ac.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2025-11-02T17:40:42Z</dcterms:created>
  <dcterms:modified xsi:type="dcterms:W3CDTF">2025-11-02T17:40:42Z</dcterms:modified>
</cp:coreProperties>
</file>

<file path=docProps/custom.xml><?xml version="1.0" encoding="utf-8"?>
<Properties xmlns="http://schemas.openxmlformats.org/officeDocument/2006/custom-properties" xmlns:vt="http://schemas.openxmlformats.org/officeDocument/2006/docPropsVTypes"/>
</file>