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6838"/>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Mar>
              <w:top w:type="dxa" w:w="0"/>
              <w:left w:type="dxa" w:w="1440"/>
              <w:bottom w:type="dxa" w:w="0"/>
              <w:right w:type="dxa" w:w="1440"/>
            </w:tcMar>
          </w:tcPr>
          <w:p>
            <w:pPr>
              <w:spacing w:before="4800"/>
            </w:pPr>
          </w:p>
          <w:p>
            <w:pPr>
              <w:spacing w:after="80" w:line="828" w:lineRule="atLeast"/>
              <w:jc w:val="left"/>
            </w:pPr>
            <w:r>
              <w:rPr>
                <w:rFonts w:ascii="Calibri"/>
                <w:b/>
                <w:bCs/>
                <w:color w:val="FFFFFF"/>
                <w:sz w:val="72"/>
                <w:szCs w:val="72"/>
              </w:rPr>
              <w:t xml:space="preserve">MetaCommand x</w:t>
            </w:r>
          </w:p>
          <w:p>
            <w:pPr>
              <w:spacing w:after="80" w:line="828" w:lineRule="atLeast"/>
              <w:jc w:val="left"/>
            </w:pPr>
            <w:r>
              <w:rPr>
                <w:rFonts w:ascii="Calibri"/>
                <w:b/>
                <w:bCs/>
                <w:color w:val="FFFFFF"/>
                <w:sz w:val="72"/>
                <w:szCs w:val="72"/>
              </w:rPr>
              <w:t xml:space="preserve">Consensus Hardening</w:t>
            </w:r>
          </w:p>
          <w:p>
            <w:pPr>
              <w:spacing w:after="80" w:line="828" w:lineRule="atLeast"/>
              <w:jc w:val="left"/>
            </w:pPr>
            <w:r>
              <w:rPr>
                <w:rFonts w:ascii="Calibri"/>
                <w:b/>
                <w:bCs/>
                <w:color w:val="FFFFFF"/>
                <w:sz w:val="72"/>
                <w:szCs w:val="72"/>
              </w:rPr>
              <w:t xml:space="preserve">Protocol</w:t>
            </w:r>
          </w:p>
          <w:p>
            <w:pPr>
              <w:spacing w:after="100" w:before="200" w:line="400" w:lineRule="atLeast"/>
              <w:jc w:val="left"/>
            </w:pPr>
            <w:r>
              <w:rPr>
                <w:rFonts w:ascii="Calibri"/>
                <w:color w:val="B0B8C0"/>
                <w:sz w:val="28"/>
                <w:szCs w:val="28"/>
              </w:rPr>
              <w:t xml:space="preserve">AI-Powered Consensus Governance for eCommerce Finance</w:t>
            </w:r>
          </w:p>
          <w:p>
            <w:pPr>
              <w:pBdr>
                <w:bottom w:val="single" w:color="37DCF2" w:sz="6" w:space="10"/>
              </w:pBdr>
              <w:spacing w:after="300" w:before="300"/>
              <w:ind w:left="0" w:right="4000"/>
            </w:pPr>
          </w:p>
          <w:p>
            <w:pPr>
              <w:spacing w:after="80" w:line="300"/>
              <w:jc w:val="left"/>
            </w:pPr>
            <w:r>
              <w:rPr>
                <w:rFonts w:ascii="Calibri"/>
                <w:color w:val="90989F"/>
                <w:sz w:val="22"/>
                <w:szCs w:val="22"/>
              </w:rPr>
              <w:t xml:space="preserve">Hackspire Hackathon 2026 Submission</w:t>
            </w:r>
          </w:p>
          <w:p>
            <w:pPr>
              <w:spacing w:after="80" w:line="300"/>
              <w:jc w:val="left"/>
            </w:pPr>
            <w:r>
              <w:rPr>
                <w:rFonts w:ascii="Calibri"/>
                <w:color w:val="90989F"/>
                <w:sz w:val="22"/>
                <w:szCs w:val="22"/>
              </w:rPr>
              <w:t xml:space="preserve">Track: Finance &amp; FinTech  |  Track: AI &amp; Machine Learning</w:t>
            </w:r>
          </w:p>
          <w:p>
            <w:pPr>
              <w:spacing w:after="80" w:line="300"/>
              <w:jc w:val="left"/>
            </w:pPr>
            <w:r>
              <w:rPr>
                <w:rFonts w:ascii="Calibri"/>
                <w:color w:val="90989F"/>
                <w:sz w:val="22"/>
                <w:szCs w:val="22"/>
              </w:rPr>
              <w:t xml:space="preserve">zan-maker  |  Open Source  |  MIT License</w:t>
            </w:r>
          </w:p>
        </w:tc>
      </w:tr>
    </w:tbl>
    <w:p>
      <w:pPr>
        <w:sectPr>
          <w:pgSz w:w="11906" w:h="16838" w:orient="portrait"/>
          <w:pgMar w:top="0" w:right="0" w:bottom="0" w:left="0" w:header="708" w:footer="708" w:gutter="0"/>
          <w:pgNumType/>
          <w:docGrid w:linePitch="360"/>
        </w:sectPr>
      </w:pPr>
    </w:p>
    <w:p>
      <w:pPr>
        <w:pStyle w:val="Heading1"/>
        <w:spacing w:after="160" w:before="360" w:line="312"/>
      </w:pPr>
      <w:r>
        <w:rPr>
          <w:rFonts w:ascii="Calibri" w:eastAsia="Calibri"/>
          <w:b/>
          <w:bCs/>
          <w:color w:val="162235"/>
          <w:sz w:val="32"/>
          <w:szCs w:val="32"/>
        </w:rPr>
        <w:t xml:space="preserve">1. Project Overview</w:t>
      </w:r>
    </w:p>
    <w:p>
      <w:pPr>
        <w:spacing w:after="120" w:line="312"/>
        <w:jc w:val="both"/>
      </w:pPr>
      <w:r>
        <w:rPr>
          <w:rFonts w:ascii="Calibri" w:eastAsia="Calibri"/>
          <w:color w:val="000000"/>
          <w:sz w:val="24"/>
          <w:szCs w:val="24"/>
        </w:rPr>
        <w:t xml:space="preserve">MetaCommand x Consensus Hardening Protocol (CHP) is a unified, open-source AI agent platform that brings structured decision governance to eCommerce finance and operations. The project combines two complementary systems: MetaCommand, a real-time multi-agent orchestration dashboard built with Next.js 16 and Supabase, and the Consensus Hardening Protocol, a Python-based decision verification layer that stress-tests every AI-generated recommendation through cross-model validation and adversarial challenge before it reaches a decision-maker's desk.</w:t>
      </w:r>
    </w:p>
    <w:p>
      <w:pPr>
        <w:spacing w:after="120" w:line="312"/>
        <w:jc w:val="both"/>
      </w:pPr>
      <w:r>
        <w:rPr>
          <w:rFonts w:ascii="Calibri" w:eastAsia="Calibri"/>
          <w:color w:val="000000"/>
          <w:sz w:val="24"/>
          <w:szCs w:val="24"/>
        </w:rPr>
        <w:t xml:space="preserve">Together, these systems address a critical gap in modern enterprise AI: the lack of governance middleware between raw LLM outputs and capital commitments. While AI agents have become increasingly capable at generating financial insights, there is no standardized framework for validating those insights across multiple models, stress-testing conclusions adversarially, and routing decisions through role-scoped approval queues with complete audit trails. MetaCommand x CHP fills this gap by providing end-to-end infrastructure that CFOs, finance teams, and operations leaders can actually deploy.</w:t>
      </w:r>
    </w:p>
    <w:p>
      <w:pPr>
        <w:pStyle w:val="Heading2"/>
        <w:spacing w:after="160" w:before="240" w:line="312"/>
      </w:pPr>
      <w:r>
        <w:rPr>
          <w:rFonts w:ascii="Calibri" w:eastAsia="Calibri"/>
          <w:b/>
          <w:bCs/>
          <w:color w:val="162235"/>
          <w:sz w:val="28"/>
          <w:szCs w:val="28"/>
        </w:rPr>
        <w:t xml:space="preserve">2. Problem Statement</w:t>
      </w:r>
    </w:p>
    <w:p>
      <w:pPr>
        <w:spacing w:after="120" w:line="312"/>
        <w:jc w:val="both"/>
      </w:pPr>
      <w:r>
        <w:rPr>
          <w:rFonts w:ascii="Calibri" w:eastAsia="Calibri"/>
          <w:color w:val="000000"/>
          <w:sz w:val="24"/>
          <w:szCs w:val="24"/>
        </w:rPr>
        <w:t xml:space="preserve">Modern eCommerce organizations face three interconnected challenges that existing AI tools fail to address holistically. First, AI agents produce financial conclusions without showing their work, creating opacity and trust issues when teams need to justify capital allocation decisions to boards, auditors, or investors. A CFO cannot present a procurement recommendation to the board by saying the AI suggested it; they need to demonstrate the reasoning, validation, and consensus behind the recommendation.</w:t>
      </w:r>
    </w:p>
    <w:p>
      <w:pPr>
        <w:spacing w:after="120" w:line="312"/>
        <w:jc w:val="both"/>
      </w:pPr>
      <w:r>
        <w:rPr>
          <w:rFonts w:ascii="Calibri" w:eastAsia="Calibri"/>
          <w:color w:val="000000"/>
          <w:sz w:val="24"/>
          <w:szCs w:val="24"/>
        </w:rPr>
        <w:t xml:space="preserve">Second, different LLMs routinely give conflicting advice for the same financial scenario. One model might recommend aggressive inventory expansion based on demand signals, while another might flag cash flow constraints and recommend conservatism. Without a systematic reconciliation mechanism, finance teams are forced to either trust one model blindly or manually adjudicate between conflicting outputs, defeating the purpose of AI assistance.</w:t>
      </w:r>
    </w:p>
    <w:p>
      <w:pPr>
        <w:spacing w:after="120" w:line="312"/>
        <w:jc w:val="both"/>
      </w:pPr>
      <w:r>
        <w:rPr>
          <w:rFonts w:ascii="Calibri" w:eastAsia="Calibri"/>
          <w:color w:val="000000"/>
          <w:sz w:val="24"/>
          <w:szCs w:val="24"/>
        </w:rPr>
        <w:t xml:space="preserve">Third, the leap from AI-generated insight to actual financial commitment lacks a governance middleware. In high-stakes finance environments, a 98% accuracy rate is not acceptable because the policy floor is binary: a decision either meets the verification threshold or it does not. There is no framework that systematically hardens decisions through adversarial challenge, cross-model validation, and formal state progression before they become capital commitments. MetaCommand x CHP was designed specifically to solve these three problems.</w:t>
      </w:r>
    </w:p>
    <w:p>
      <w:pPr>
        <w:pStyle w:val="Heading2"/>
        <w:spacing w:after="160" w:before="240" w:line="312"/>
      </w:pPr>
      <w:r>
        <w:rPr>
          <w:rFonts w:ascii="Calibri" w:eastAsia="Calibri"/>
          <w:b/>
          <w:bCs/>
          <w:color w:val="162235"/>
          <w:sz w:val="28"/>
          <w:szCs w:val="28"/>
        </w:rPr>
        <w:t xml:space="preserve">3. Solution Architecture</w:t>
      </w:r>
    </w:p>
    <w:p>
      <w:pPr>
        <w:pStyle w:val="Heading2"/>
        <w:spacing w:after="160" w:before="240" w:line="312"/>
      </w:pPr>
      <w:r>
        <w:rPr>
          <w:rFonts w:ascii="Calibri" w:eastAsia="Calibri"/>
          <w:b/>
          <w:bCs/>
          <w:color w:val="162235"/>
          <w:sz w:val="28"/>
          <w:szCs w:val="28"/>
        </w:rPr>
        <w:t xml:space="preserve">3.1 MetaCommand: Real-Time Agent Orchestration</w:t>
      </w:r>
    </w:p>
    <w:p>
      <w:pPr>
        <w:spacing w:after="120" w:line="312"/>
        <w:jc w:val="both"/>
      </w:pPr>
      <w:r>
        <w:rPr>
          <w:rFonts w:ascii="Calibri" w:eastAsia="Calibri"/>
          <w:color w:val="000000"/>
          <w:sz w:val="24"/>
          <w:szCs w:val="24"/>
        </w:rPr>
        <w:t xml:space="preserve">MetaCommand deploys twelve specialized AI agents organized across five interconnected metabolic systems, each monitoring a critical dimension of eCommerce operations. The Capital Reflex system monitors financial capital and triggers reflex actions for cash management, credit lines, and financing optimization. Revenue Velocity tracks revenue flow dynamics, identifying acceleration and deceleration patterns across product lines and channels. Inventory Intelligence detects anomalies in stock levels, predicts fulfillment bottlenecks, and optimizes procurement timing. Customer Lifetime analyzes CLV trajectories, churn signals, and segment-level profitability. Operational Health monitors system-wide efficiency metrics, flagging degradation before it impacts financial outcomes.</w:t>
      </w:r>
    </w:p>
    <w:p>
      <w:pPr>
        <w:spacing w:after="120" w:line="312"/>
        <w:jc w:val="both"/>
      </w:pPr>
      <w:r>
        <w:rPr>
          <w:rFonts w:ascii="Calibri" w:eastAsia="Calibri"/>
          <w:color w:val="000000"/>
          <w:sz w:val="24"/>
          <w:szCs w:val="24"/>
        </w:rPr>
        <w:t xml:space="preserve">The platform uses Supabase Realtime for live WebSocket-based updates and Supabase Presence for collaborative user awareness, enabling finance teams to work together on the same dashboard in real time. Row Level Security (RLS) ensures that each team member only sees the data and decisions relevant to their role. Anomalies surfaced by agents are automatically routed through role-scoped approval queues, where designated approvers can accept, modify, or escalate recommendations with full traceability.</w:t>
      </w:r>
    </w:p>
    <w:p>
      <w:pPr>
        <w:pStyle w:val="Heading2"/>
        <w:spacing w:after="160" w:before="240" w:line="312"/>
      </w:pPr>
      <w:r>
        <w:rPr>
          <w:rFonts w:ascii="Calibri" w:eastAsia="Calibri"/>
          <w:b/>
          <w:bCs/>
          <w:color w:val="162235"/>
          <w:sz w:val="28"/>
          <w:szCs w:val="28"/>
        </w:rPr>
        <w:t xml:space="preserve">3.2 Consensus Hardening Protocol: Decision Verification</w:t>
      </w:r>
    </w:p>
    <w:p>
      <w:pPr>
        <w:spacing w:after="120" w:line="312"/>
        <w:jc w:val="both"/>
      </w:pPr>
      <w:r>
        <w:rPr>
          <w:rFonts w:ascii="Calibri" w:eastAsia="Calibri"/>
          <w:color w:val="000000"/>
          <w:sz w:val="24"/>
          <w:szCs w:val="24"/>
        </w:rPr>
        <w:t xml:space="preserve">The Consensus Hardening Protocol operates as a governance layer that sits between agent-generated recommendations and final human decisions. Every recommendation passes through a formal state machine with three states: EXPLORING, PROVISIONAL_LOCK, and LOCKED. In the EXPLORING state, multiple specialized agents (Finance, Strategy, Compliance) independently analyze the decision from their domain perspective. Their outputs are then subjected to cross-model validation across different LLM providers, ensuring that conclusions are not artifacts of a single model's biases or training data.</w:t>
      </w:r>
    </w:p>
    <w:p>
      <w:pPr>
        <w:spacing w:after="120" w:line="312"/>
        <w:jc w:val="both"/>
      </w:pPr>
      <w:r>
        <w:rPr>
          <w:rFonts w:ascii="Calibri" w:eastAsia="Calibri"/>
          <w:color w:val="000000"/>
          <w:sz w:val="24"/>
          <w:szCs w:val="24"/>
        </w:rPr>
        <w:t xml:space="preserve">The protocol then applies adversarial stress-testing, where a dedicated challenge agent attempts to find weaknesses, contradictions, or risks in the recommendation. This mirrors the challenge process that would occur in a boardroom or investment committee, but at machine speed and scale. Only when all validation gates pass does the decision advance to PROVISIONAL_LOCK, where a human reviewer can examine the full audit trail before finally LOCKING the decision. Every state transition is logged, creating a complete chain of evidence for regulatory compliance and internal audit.</w:t>
      </w:r>
    </w:p>
    <w:p>
      <w:pPr>
        <w:pStyle w:val="Heading2"/>
        <w:spacing w:after="160" w:before="240" w:line="312"/>
      </w:pPr>
      <w:r>
        <w:rPr>
          <w:rFonts w:ascii="Calibri" w:eastAsia="Calibri"/>
          <w:b/>
          <w:bCs/>
          <w:color w:val="162235"/>
          <w:sz w:val="28"/>
          <w:szCs w:val="28"/>
        </w:rPr>
        <w:t xml:space="preserve">3.3 Integrated System Flow</w:t>
      </w:r>
    </w:p>
    <w:p>
      <w:pPr>
        <w:spacing w:after="120" w:line="312"/>
        <w:jc w:val="both"/>
      </w:pPr>
      <w:r>
        <w:rPr>
          <w:rFonts w:ascii="Calibri" w:eastAsia="Calibri"/>
          <w:color w:val="000000"/>
          <w:sz w:val="24"/>
          <w:szCs w:val="24"/>
        </w:rPr>
        <w:t xml:space="preserve">The integrated system works as follows: MetaCommand agents continuously monitor eCommerce operations and surface anomalies or opportunities. When an anomaly triggers a potential capital decision (for example, Inventory Intelligence detects a critical stockout risk that requires emergency procurement), the recommendation is automatically packaged into a decision packet and handed to the Consensus Hardening Protocol. CHP runs the recommendation through its multi-agent consensus process, cross-model validation, and adversarial challenge. The hardened decision, complete with confidence scores and audit trail, is then routed back to MetaCommand's approval queue, where the appropriate role-based approver can review and act on it within the real-time dashboard.</w:t>
      </w:r>
    </w:p>
    <w:p>
      <w:pPr>
        <w:pStyle w:val="Heading1"/>
        <w:spacing w:after="160" w:before="360" w:line="312"/>
      </w:pPr>
      <w:r>
        <w:rPr>
          <w:rFonts w:ascii="Calibri" w:eastAsia="Calibri"/>
          <w:b/>
          <w:bCs/>
          <w:color w:val="162235"/>
          <w:sz w:val="32"/>
          <w:szCs w:val="32"/>
        </w:rPr>
        <w:t xml:space="preserve">4. Key Features</w:t>
      </w:r>
    </w:p>
    <w:p>
      <w:pPr>
        <w:pStyle w:val="Heading2"/>
        <w:spacing w:after="160" w:before="240" w:line="312"/>
      </w:pPr>
      <w:r>
        <w:rPr>
          <w:rFonts w:ascii="Calibri" w:eastAsia="Calibri"/>
          <w:b/>
          <w:bCs/>
          <w:color w:val="162235"/>
          <w:sz w:val="28"/>
          <w:szCs w:val="28"/>
        </w:rPr>
        <w:t xml:space="preserve">4.1 Twelve Specialized AI Agents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r>
              <w:rPr>
                <w:rFonts w:ascii="Calibri"/>
                <w:b/>
                <w:bCs/>
                <w:color w:val="FFFFFF"/>
                <w:sz w:val="21"/>
                <w:szCs w:val="21"/>
              </w:rPr>
              <w:t xml:space="preserve">Metabolic System</w:t>
            </w:r>
          </w:p>
        </w:tc>
        <w:tc>
          <w:tcPr>
            <w:tcW w:type="pct" w:w="15%"/>
            <w:shd w:fill="1B6B7A" w:val="clear"/>
            <w:tcMar>
              <w:top w:type="dxa" w:w="60"/>
              <w:left w:type="dxa" w:w="120"/>
              <w:bottom w:type="dxa" w:w="60"/>
              <w:right w:type="dxa" w:w="120"/>
            </w:tcMar>
          </w:tcPr>
          <w:p>
            <w:r>
              <w:rPr>
                <w:rFonts w:ascii="Calibri"/>
                <w:b/>
                <w:bCs/>
                <w:color w:val="FFFFFF"/>
                <w:sz w:val="21"/>
                <w:szCs w:val="21"/>
              </w:rPr>
              <w:t xml:space="preserve">Agents</w:t>
            </w:r>
          </w:p>
        </w:tc>
        <w:tc>
          <w:tcPr>
            <w:tcW w:type="pct" w:w="60%"/>
            <w:shd w:fill="1B6B7A" w:val="clear"/>
            <w:tcMar>
              <w:top w:type="dxa" w:w="60"/>
              <w:left w:type="dxa" w:w="120"/>
              <w:bottom w:type="dxa" w:w="60"/>
              <w:right w:type="dxa" w:w="120"/>
            </w:tcMar>
          </w:tcPr>
          <w:p>
            <w:r>
              <w:rPr>
                <w:rFonts w:ascii="Calibri"/>
                <w:b/>
                <w:bCs/>
                <w:color w:val="FFFFFF"/>
                <w:sz w:val="21"/>
                <w:szCs w:val="21"/>
              </w:rPr>
              <w:t xml:space="preserve">Function</w:t>
            </w:r>
          </w:p>
        </w:tc>
      </w:tr>
      <w:tr>
        <w:trPr>
          <w:cantSplit/>
        </w:trPr>
        <w:tc>
          <w:tcPr>
            <w:tcW w:type="pct" w:w="25%"/>
            <w:shd w:fill="EDF3F5" w:val="clear"/>
            <w:tcMar>
              <w:top w:type="dxa" w:w="60"/>
              <w:left w:type="dxa" w:w="120"/>
              <w:bottom w:type="dxa" w:w="60"/>
              <w:right w:type="dxa" w:w="120"/>
            </w:tcMar>
          </w:tcPr>
          <w:p>
            <w:pPr>
              <w:spacing w:line="312"/>
            </w:pPr>
            <w:r>
              <w:rPr>
                <w:rFonts w:ascii="Calibri"/>
                <w:color w:val="000000"/>
                <w:sz w:val="21"/>
                <w:szCs w:val="21"/>
              </w:rPr>
              <w:t xml:space="preserve">Capital Reflex</w:t>
            </w:r>
          </w:p>
        </w:tc>
        <w:tc>
          <w:tcPr>
            <w:tcW w:type="pct" w:w="15%"/>
            <w:shd w:fill="EDF3F5" w:val="clear"/>
            <w:tcMar>
              <w:top w:type="dxa" w:w="60"/>
              <w:left w:type="dxa" w:w="120"/>
              <w:bottom w:type="dxa" w:w="60"/>
              <w:right w:type="dxa" w:w="120"/>
            </w:tcMar>
          </w:tcPr>
          <w:p>
            <w:pPr>
              <w:spacing w:line="312"/>
            </w:pPr>
            <w:r>
              <w:rPr>
                <w:rFonts w:ascii="Calibri"/>
                <w:color w:val="000000"/>
                <w:sz w:val="21"/>
                <w:szCs w:val="21"/>
              </w:rPr>
              <w:t xml:space="preserve">3 agents</w:t>
            </w:r>
          </w:p>
        </w:tc>
        <w:tc>
          <w:tcPr>
            <w:tcW w:type="pct" w:w="60%"/>
            <w:shd w:fill="EDF3F5" w:val="clear"/>
            <w:tcMar>
              <w:top w:type="dxa" w:w="60"/>
              <w:left w:type="dxa" w:w="120"/>
              <w:bottom w:type="dxa" w:w="60"/>
              <w:right w:type="dxa" w:w="120"/>
            </w:tcMar>
          </w:tcPr>
          <w:p>
            <w:pPr>
              <w:spacing w:line="312"/>
            </w:pPr>
            <w:r>
              <w:rPr>
                <w:rFonts w:ascii="Calibri"/>
                <w:color w:val="000000"/>
                <w:sz w:val="21"/>
                <w:szCs w:val="21"/>
              </w:rPr>
              <w:t xml:space="preserve">Financial capital monitoring, cash management, financing optimization</w:t>
            </w:r>
          </w:p>
        </w:tc>
      </w:tr>
      <w:tr>
        <w:trPr>
          <w:cantSplit/>
        </w:trPr>
        <w:tc>
          <w:tcPr>
            <w:tcW w:type="pct" w:w="25%"/>
            <w:shd w:fill="FFFFFF" w:val="clear"/>
            <w:tcMar>
              <w:top w:type="dxa" w:w="60"/>
              <w:left w:type="dxa" w:w="120"/>
              <w:bottom w:type="dxa" w:w="60"/>
              <w:right w:type="dxa" w:w="120"/>
            </w:tcMar>
          </w:tcPr>
          <w:p>
            <w:pPr>
              <w:spacing w:line="312"/>
            </w:pPr>
            <w:r>
              <w:rPr>
                <w:rFonts w:ascii="Calibri"/>
                <w:color w:val="000000"/>
                <w:sz w:val="21"/>
                <w:szCs w:val="21"/>
              </w:rPr>
              <w:t xml:space="preserve">Revenue Velocity</w:t>
            </w:r>
          </w:p>
        </w:tc>
        <w:tc>
          <w:tcPr>
            <w:tcW w:type="pct" w:w="15%"/>
            <w:shd w:fill="FFFFFF" w:val="clear"/>
            <w:tcMar>
              <w:top w:type="dxa" w:w="60"/>
              <w:left w:type="dxa" w:w="120"/>
              <w:bottom w:type="dxa" w:w="60"/>
              <w:right w:type="dxa" w:w="120"/>
            </w:tcMar>
          </w:tcPr>
          <w:p>
            <w:pPr>
              <w:spacing w:line="312"/>
            </w:pPr>
            <w:r>
              <w:rPr>
                <w:rFonts w:ascii="Calibri"/>
                <w:color w:val="000000"/>
                <w:sz w:val="21"/>
                <w:szCs w:val="21"/>
              </w:rPr>
              <w:t xml:space="preserve">3 agents</w:t>
            </w:r>
          </w:p>
        </w:tc>
        <w:tc>
          <w:tcPr>
            <w:tcW w:type="pct" w:w="60%"/>
            <w:shd w:fill="FFFFFF" w:val="clear"/>
            <w:tcMar>
              <w:top w:type="dxa" w:w="60"/>
              <w:left w:type="dxa" w:w="120"/>
              <w:bottom w:type="dxa" w:w="60"/>
              <w:right w:type="dxa" w:w="120"/>
            </w:tcMar>
          </w:tcPr>
          <w:p>
            <w:pPr>
              <w:spacing w:line="312"/>
            </w:pPr>
            <w:r>
              <w:rPr>
                <w:rFonts w:ascii="Calibri"/>
                <w:color w:val="000000"/>
                <w:sz w:val="21"/>
                <w:szCs w:val="21"/>
              </w:rPr>
              <w:t xml:space="preserve">Revenue tracking, flow analysis, channel performance</w:t>
            </w:r>
          </w:p>
        </w:tc>
      </w:tr>
      <w:tr>
        <w:trPr>
          <w:cantSplit/>
        </w:trPr>
        <w:tc>
          <w:tcPr>
            <w:tcW w:type="pct" w:w="25%"/>
            <w:shd w:fill="EDF3F5" w:val="clear"/>
            <w:tcMar>
              <w:top w:type="dxa" w:w="60"/>
              <w:left w:type="dxa" w:w="120"/>
              <w:bottom w:type="dxa" w:w="60"/>
              <w:right w:type="dxa" w:w="120"/>
            </w:tcMar>
          </w:tcPr>
          <w:p>
            <w:pPr>
              <w:spacing w:line="312"/>
            </w:pPr>
            <w:r>
              <w:rPr>
                <w:rFonts w:ascii="Calibri"/>
                <w:color w:val="000000"/>
                <w:sz w:val="21"/>
                <w:szCs w:val="21"/>
              </w:rPr>
              <w:t xml:space="preserve">Inventory Intelligence</w:t>
            </w:r>
          </w:p>
        </w:tc>
        <w:tc>
          <w:tcPr>
            <w:tcW w:type="pct" w:w="15%"/>
            <w:shd w:fill="EDF3F5" w:val="clear"/>
            <w:tcMar>
              <w:top w:type="dxa" w:w="60"/>
              <w:left w:type="dxa" w:w="120"/>
              <w:bottom w:type="dxa" w:w="60"/>
              <w:right w:type="dxa" w:w="120"/>
            </w:tcMar>
          </w:tcPr>
          <w:p>
            <w:pPr>
              <w:spacing w:line="312"/>
            </w:pPr>
            <w:r>
              <w:rPr>
                <w:rFonts w:ascii="Calibri"/>
                <w:color w:val="000000"/>
                <w:sz w:val="21"/>
                <w:szCs w:val="21"/>
              </w:rPr>
              <w:t xml:space="preserve">3 agents</w:t>
            </w:r>
          </w:p>
        </w:tc>
        <w:tc>
          <w:tcPr>
            <w:tcW w:type="pct" w:w="60%"/>
            <w:shd w:fill="EDF3F5" w:val="clear"/>
            <w:tcMar>
              <w:top w:type="dxa" w:w="60"/>
              <w:left w:type="dxa" w:w="120"/>
              <w:bottom w:type="dxa" w:w="60"/>
              <w:right w:type="dxa" w:w="120"/>
            </w:tcMar>
          </w:tcPr>
          <w:p>
            <w:pPr>
              <w:spacing w:line="312"/>
            </w:pPr>
            <w:r>
              <w:rPr>
                <w:rFonts w:ascii="Calibri"/>
                <w:color w:val="000000"/>
                <w:sz w:val="21"/>
                <w:szCs w:val="21"/>
              </w:rPr>
              <w:t xml:space="preserve">Stock anomaly detection, fulfillment prediction, procurement timing</w:t>
            </w:r>
          </w:p>
        </w:tc>
      </w:tr>
      <w:tr>
        <w:trPr>
          <w:cantSplit/>
        </w:trPr>
        <w:tc>
          <w:tcPr>
            <w:tcW w:type="pct" w:w="25%"/>
            <w:shd w:fill="FFFFFF" w:val="clear"/>
            <w:tcMar>
              <w:top w:type="dxa" w:w="60"/>
              <w:left w:type="dxa" w:w="120"/>
              <w:bottom w:type="dxa" w:w="60"/>
              <w:right w:type="dxa" w:w="120"/>
            </w:tcMar>
          </w:tcPr>
          <w:p>
            <w:pPr>
              <w:spacing w:line="312"/>
            </w:pPr>
            <w:r>
              <w:rPr>
                <w:rFonts w:ascii="Calibri"/>
                <w:color w:val="000000"/>
                <w:sz w:val="21"/>
                <w:szCs w:val="21"/>
              </w:rPr>
              <w:t xml:space="preserve">Customer Lifetime</w:t>
            </w:r>
          </w:p>
        </w:tc>
        <w:tc>
          <w:tcPr>
            <w:tcW w:type="pct" w:w="15%"/>
            <w:shd w:fill="FFFFFF" w:val="clear"/>
            <w:tcMar>
              <w:top w:type="dxa" w:w="60"/>
              <w:left w:type="dxa" w:w="120"/>
              <w:bottom w:type="dxa" w:w="60"/>
              <w:right w:type="dxa" w:w="120"/>
            </w:tcMar>
          </w:tcPr>
          <w:p>
            <w:pPr>
              <w:spacing w:line="312"/>
            </w:pPr>
            <w:r>
              <w:rPr>
                <w:rFonts w:ascii="Calibri"/>
                <w:color w:val="000000"/>
                <w:sz w:val="21"/>
                <w:szCs w:val="21"/>
              </w:rPr>
              <w:t xml:space="preserve">2 agents</w:t>
            </w:r>
          </w:p>
        </w:tc>
        <w:tc>
          <w:tcPr>
            <w:tcW w:type="pct" w:w="60%"/>
            <w:shd w:fill="FFFFFF" w:val="clear"/>
            <w:tcMar>
              <w:top w:type="dxa" w:w="60"/>
              <w:left w:type="dxa" w:w="120"/>
              <w:bottom w:type="dxa" w:w="60"/>
              <w:right w:type="dxa" w:w="120"/>
            </w:tcMar>
          </w:tcPr>
          <w:p>
            <w:pPr>
              <w:spacing w:line="312"/>
            </w:pPr>
            <w:r>
              <w:rPr>
                <w:rFonts w:ascii="Calibri"/>
                <w:color w:val="000000"/>
                <w:sz w:val="21"/>
                <w:szCs w:val="21"/>
              </w:rPr>
              <w:t xml:space="preserve">CLV analytics, churn prediction, segment profitability</w:t>
            </w:r>
          </w:p>
        </w:tc>
      </w:tr>
      <w:tr>
        <w:trPr>
          <w:cantSplit/>
        </w:trPr>
        <w:tc>
          <w:tcPr>
            <w:tcW w:type="pct" w:w="25%"/>
            <w:shd w:fill="EDF3F5" w:val="clear"/>
            <w:tcMar>
              <w:top w:type="dxa" w:w="60"/>
              <w:left w:type="dxa" w:w="120"/>
              <w:bottom w:type="dxa" w:w="60"/>
              <w:right w:type="dxa" w:w="120"/>
            </w:tcMar>
          </w:tcPr>
          <w:p>
            <w:pPr>
              <w:spacing w:line="312"/>
            </w:pPr>
            <w:r>
              <w:rPr>
                <w:rFonts w:ascii="Calibri"/>
                <w:color w:val="000000"/>
                <w:sz w:val="21"/>
                <w:szCs w:val="21"/>
              </w:rPr>
              <w:t xml:space="preserve">Operational Health</w:t>
            </w:r>
          </w:p>
        </w:tc>
        <w:tc>
          <w:tcPr>
            <w:tcW w:type="pct" w:w="15%"/>
            <w:shd w:fill="EDF3F5" w:val="clear"/>
            <w:tcMar>
              <w:top w:type="dxa" w:w="60"/>
              <w:left w:type="dxa" w:w="120"/>
              <w:bottom w:type="dxa" w:w="60"/>
              <w:right w:type="dxa" w:w="120"/>
            </w:tcMar>
          </w:tcPr>
          <w:p>
            <w:pPr>
              <w:spacing w:line="312"/>
            </w:pPr>
            <w:r>
              <w:rPr>
                <w:rFonts w:ascii="Calibri"/>
                <w:color w:val="000000"/>
                <w:sz w:val="21"/>
                <w:szCs w:val="21"/>
              </w:rPr>
              <w:t xml:space="preserve">1 agent</w:t>
            </w:r>
          </w:p>
        </w:tc>
        <w:tc>
          <w:tcPr>
            <w:tcW w:type="pct" w:w="60%"/>
            <w:shd w:fill="EDF3F5" w:val="clear"/>
            <w:tcMar>
              <w:top w:type="dxa" w:w="60"/>
              <w:left w:type="dxa" w:w="120"/>
              <w:bottom w:type="dxa" w:w="60"/>
              <w:right w:type="dxa" w:w="120"/>
            </w:tcMar>
          </w:tcPr>
          <w:p>
            <w:pPr>
              <w:spacing w:line="312"/>
            </w:pPr>
            <w:r>
              <w:rPr>
                <w:rFonts w:ascii="Calibri"/>
                <w:color w:val="000000"/>
                <w:sz w:val="21"/>
                <w:szCs w:val="21"/>
              </w:rPr>
              <w:t xml:space="preserve">System-wide efficiency, degradation detection, ops metrics</w:t>
            </w:r>
          </w:p>
        </w:tc>
      </w:tr>
    </w:tbl>
    <w:p>
      <w:pPr>
        <w:spacing w:before="200"/>
      </w:pPr>
    </w:p>
    <w:p>
      <w:pPr>
        <w:pStyle w:val="Heading2"/>
        <w:spacing w:after="160" w:before="240" w:line="312"/>
      </w:pPr>
      <w:r>
        <w:rPr>
          <w:rFonts w:ascii="Calibri" w:eastAsia="Calibri"/>
          <w:b/>
          <w:bCs/>
          <w:color w:val="162235"/>
          <w:sz w:val="28"/>
          <w:szCs w:val="28"/>
        </w:rPr>
        <w:t xml:space="preserve">4.2 Consensus Decision Engine</w:t>
      </w:r>
    </w:p>
    <w:p>
      <w:pPr>
        <w:pStyle w:val="ListParagraph"/>
        <w:numPr>
          <w:ilvl w:val="0"/>
          <w:numId w:val="1"/>
        </w:numPr>
        <w:spacing w:after="80" w:line="312"/>
      </w:pPr>
      <w:r>
        <w:rPr>
          <w:rFonts w:ascii="Calibri"/>
          <w:color w:val="000000"/>
          <w:sz w:val="24"/>
          <w:szCs w:val="24"/>
        </w:rPr>
        <w:t xml:space="preserve">Foundation Disclosure: Every recommendation shows its full reasoning chain, data sources, and assumptions before validation begins.</w:t>
      </w:r>
    </w:p>
    <w:p>
      <w:pPr>
        <w:pStyle w:val="ListParagraph"/>
        <w:numPr>
          <w:ilvl w:val="0"/>
          <w:numId w:val="1"/>
        </w:numPr>
        <w:spacing w:after="80" w:line="312"/>
      </w:pPr>
      <w:r>
        <w:rPr>
          <w:rFonts w:ascii="Calibri"/>
          <w:color w:val="000000"/>
          <w:sz w:val="24"/>
          <w:szCs w:val="24"/>
        </w:rPr>
        <w:t xml:space="preserve">Adversarial Attack: A dedicated challenge agent stress-tests every recommendation, searching for logical flaws, data gaps, and risk blind spots that the original analysis missed.</w:t>
      </w:r>
    </w:p>
    <w:p>
      <w:pPr>
        <w:pStyle w:val="ListParagraph"/>
        <w:numPr>
          <w:ilvl w:val="0"/>
          <w:numId w:val="1"/>
        </w:numPr>
        <w:spacing w:after="80" w:line="312"/>
      </w:pPr>
      <w:r>
        <w:rPr>
          <w:rFonts w:ascii="Calibri"/>
          <w:color w:val="000000"/>
          <w:sz w:val="24"/>
          <w:szCs w:val="24"/>
        </w:rPr>
        <w:t xml:space="preserve">Cross-Model Validation: Decision packets are validated across multiple LLM providers to ensure conclusions survive scrutiny from different AI perspectives and are not artifacts of a single model's biases.</w:t>
      </w:r>
    </w:p>
    <w:p>
      <w:pPr>
        <w:pStyle w:val="ListParagraph"/>
        <w:numPr>
          <w:ilvl w:val="0"/>
          <w:numId w:val="1"/>
        </w:numPr>
        <w:spacing w:after="80" w:line="312"/>
      </w:pPr>
      <w:r>
        <w:rPr>
          <w:rFonts w:ascii="Calibri"/>
          <w:color w:val="000000"/>
          <w:sz w:val="24"/>
          <w:szCs w:val="24"/>
        </w:rPr>
        <w:t xml:space="preserve">Auditable State Machine: Formal EXPLORING to PROVISIONAL_LOCK to LOCKED progression with mandatory verification gates and complete audit logging.</w:t>
      </w:r>
    </w:p>
    <w:p>
      <w:pPr>
        <w:pStyle w:val="ListParagraph"/>
        <w:numPr>
          <w:ilvl w:val="0"/>
          <w:numId w:val="1"/>
        </w:numPr>
        <w:spacing w:after="80" w:line="312"/>
      </w:pPr>
      <w:r>
        <w:rPr>
          <w:rFonts w:ascii="Calibri"/>
          <w:color w:val="000000"/>
          <w:sz w:val="24"/>
          <w:szCs w:val="24"/>
        </w:rPr>
        <w:t xml:space="preserve">100% Verification Floor: Binary pass/fail validation ensures no sub-threshold decision reaches a decision-maker, enforcing the principle that the policy floor is not probabilistic but definitive.</w:t>
      </w:r>
    </w:p>
    <w:p>
      <w:pPr>
        <w:pStyle w:val="Heading2"/>
        <w:spacing w:after="160" w:before="240" w:line="312"/>
      </w:pPr>
      <w:r>
        <w:rPr>
          <w:rFonts w:ascii="Calibri" w:eastAsia="Calibri"/>
          <w:b/>
          <w:bCs/>
          <w:color w:val="162235"/>
          <w:sz w:val="28"/>
          <w:szCs w:val="28"/>
        </w:rPr>
        <w:t xml:space="preserve">4.3 Real-Time Collaboration</w:t>
      </w:r>
    </w:p>
    <w:p>
      <w:pPr>
        <w:pStyle w:val="ListParagraph"/>
        <w:numPr>
          <w:ilvl w:val="0"/>
          <w:numId w:val="1"/>
        </w:numPr>
        <w:spacing w:after="80" w:line="312"/>
      </w:pPr>
      <w:r>
        <w:rPr>
          <w:rFonts w:ascii="Calibri"/>
          <w:color w:val="000000"/>
          <w:sz w:val="24"/>
          <w:szCs w:val="24"/>
        </w:rPr>
        <w:t xml:space="preserve">Supabase Realtime: WebSocket-based live updates ensure all team members see agent alerts, approval queue changes, and decision state transitions instantaneously without page refresh.</w:t>
      </w:r>
    </w:p>
    <w:p>
      <w:pPr>
        <w:pStyle w:val="ListParagraph"/>
        <w:numPr>
          <w:ilvl w:val="0"/>
          <w:numId w:val="1"/>
        </w:numPr>
        <w:spacing w:after="80" w:line="312"/>
      </w:pPr>
      <w:r>
        <w:rPr>
          <w:rFonts w:ascii="Calibri"/>
          <w:color w:val="000000"/>
          <w:sz w:val="24"/>
          <w:szCs w:val="24"/>
        </w:rPr>
        <w:t xml:space="preserve">Supabase Presence: Collaborative user awareness shows which team members are currently active on the dashboard, enabling coordinated response to time-sensitive financial decisions.</w:t>
      </w:r>
    </w:p>
    <w:p>
      <w:pPr>
        <w:pStyle w:val="ListParagraph"/>
        <w:numPr>
          <w:ilvl w:val="0"/>
          <w:numId w:val="1"/>
        </w:numPr>
        <w:spacing w:after="80" w:line="312"/>
      </w:pPr>
      <w:r>
        <w:rPr>
          <w:rFonts w:ascii="Calibri"/>
          <w:color w:val="000000"/>
          <w:sz w:val="24"/>
          <w:szCs w:val="24"/>
        </w:rPr>
        <w:t xml:space="preserve">Role-Scoped Approval Queues: Decisions route automatically to the appropriate approver based on organizational role, with configurable escalation paths for edge cases.</w:t>
      </w:r>
    </w:p>
    <w:p>
      <w:pPr>
        <w:pStyle w:val="ListParagraph"/>
        <w:numPr>
          <w:ilvl w:val="0"/>
          <w:numId w:val="1"/>
        </w:numPr>
        <w:spacing w:after="80" w:line="312"/>
      </w:pPr>
      <w:r>
        <w:rPr>
          <w:rFonts w:ascii="Calibri"/>
          <w:color w:val="000000"/>
          <w:sz w:val="24"/>
          <w:szCs w:val="24"/>
        </w:rPr>
        <w:t xml:space="preserve">Row Level Security: Data access control enforced at the database level ensures that sensitive financial data is only visible to authorized personnel, regardless of application-level permissions.</w:t>
      </w:r>
    </w:p>
    <w:p>
      <w:pPr>
        <w:pStyle w:val="Heading1"/>
        <w:spacing w:after="160" w:before="360" w:line="312"/>
      </w:pPr>
      <w:r>
        <w:rPr>
          <w:rFonts w:ascii="Calibri" w:eastAsia="Calibri"/>
          <w:b/>
          <w:bCs/>
          <w:color w:val="162235"/>
          <w:sz w:val="32"/>
          <w:szCs w:val="32"/>
        </w:rPr>
        <w:t xml:space="preserve">5. Technical Implementation</w:t>
      </w:r>
    </w:p>
    <w:p>
      <w:pPr>
        <w:pStyle w:val="Heading2"/>
        <w:spacing w:after="160" w:before="240" w:line="312"/>
      </w:pPr>
      <w:r>
        <w:rPr>
          <w:rFonts w:ascii="Calibri" w:eastAsia="Calibri"/>
          <w:b/>
          <w:bCs/>
          <w:color w:val="162235"/>
          <w:sz w:val="28"/>
          <w:szCs w:val="28"/>
        </w:rPr>
        <w:t xml:space="preserve">5.1 Tech Stack</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r>
              <w:rPr>
                <w:rFonts w:ascii="Calibri"/>
                <w:b/>
                <w:bCs/>
                <w:color w:val="FFFFFF"/>
                <w:sz w:val="21"/>
                <w:szCs w:val="21"/>
              </w:rPr>
              <w:t xml:space="preserve">Layer</w:t>
            </w:r>
          </w:p>
        </w:tc>
        <w:tc>
          <w:tcPr>
            <w:tcW w:type="pct" w:w="39%"/>
            <w:shd w:fill="1B6B7A" w:val="clear"/>
            <w:tcMar>
              <w:top w:type="dxa" w:w="60"/>
              <w:left w:type="dxa" w:w="120"/>
              <w:bottom w:type="dxa" w:w="60"/>
              <w:right w:type="dxa" w:w="120"/>
            </w:tcMar>
          </w:tcPr>
          <w:p>
            <w:r>
              <w:rPr>
                <w:rFonts w:ascii="Calibri"/>
                <w:b/>
                <w:bCs/>
                <w:color w:val="FFFFFF"/>
                <w:sz w:val="21"/>
                <w:szCs w:val="21"/>
              </w:rPr>
              <w:t xml:space="preserve">MetaCommand</w:t>
            </w:r>
          </w:p>
        </w:tc>
        <w:tc>
          <w:tcPr>
            <w:tcW w:type="pct" w:w="39%"/>
            <w:shd w:fill="1B6B7A" w:val="clear"/>
            <w:tcMar>
              <w:top w:type="dxa" w:w="60"/>
              <w:left w:type="dxa" w:w="120"/>
              <w:bottom w:type="dxa" w:w="60"/>
              <w:right w:type="dxa" w:w="120"/>
            </w:tcMar>
          </w:tcPr>
          <w:p>
            <w:r>
              <w:rPr>
                <w:rFonts w:ascii="Calibri"/>
                <w:b/>
                <w:bCs/>
                <w:color w:val="FFFFFF"/>
                <w:sz w:val="21"/>
                <w:szCs w:val="21"/>
              </w:rPr>
              <w:t xml:space="preserve">CHP</w:t>
            </w:r>
          </w:p>
        </w:tc>
      </w:tr>
      <w:tr>
        <w:trPr>
          <w:cantSplit/>
        </w:trPr>
        <w:tc>
          <w:tcPr>
            <w:tcW w:type="pct" w:w="22%"/>
            <w:shd w:fill="EDF3F5" w:val="clear"/>
            <w:tcMar>
              <w:top w:type="dxa" w:w="60"/>
              <w:left w:type="dxa" w:w="120"/>
              <w:bottom w:type="dxa" w:w="60"/>
              <w:right w:type="dxa" w:w="120"/>
            </w:tcMar>
          </w:tcPr>
          <w:p>
            <w:pPr>
              <w:spacing w:line="312"/>
            </w:pPr>
            <w:r>
              <w:rPr>
                <w:rFonts w:ascii="Calibri"/>
                <w:color w:val="000000"/>
                <w:sz w:val="21"/>
                <w:szCs w:val="21"/>
              </w:rPr>
              <w:t xml:space="preserve">Framework</w:t>
            </w:r>
          </w:p>
        </w:tc>
        <w:tc>
          <w:tcPr>
            <w:tcW w:type="pct" w:w="39%"/>
            <w:shd w:fill="EDF3F5" w:val="clear"/>
            <w:tcMar>
              <w:top w:type="dxa" w:w="60"/>
              <w:left w:type="dxa" w:w="120"/>
              <w:bottom w:type="dxa" w:w="60"/>
              <w:right w:type="dxa" w:w="120"/>
            </w:tcMar>
          </w:tcPr>
          <w:p>
            <w:pPr>
              <w:spacing w:line="312"/>
            </w:pPr>
            <w:r>
              <w:rPr>
                <w:rFonts w:ascii="Calibri"/>
                <w:color w:val="000000"/>
                <w:sz w:val="21"/>
                <w:szCs w:val="21"/>
              </w:rPr>
              <w:t xml:space="preserve">Next.js 16 (TypeScript)</w:t>
            </w:r>
          </w:p>
        </w:tc>
        <w:tc>
          <w:tcPr>
            <w:tcW w:type="pct" w:w="39%"/>
            <w:shd w:fill="EDF3F5" w:val="clear"/>
            <w:tcMar>
              <w:top w:type="dxa" w:w="60"/>
              <w:left w:type="dxa" w:w="120"/>
              <w:bottom w:type="dxa" w:w="60"/>
              <w:right w:type="dxa" w:w="120"/>
            </w:tcMar>
          </w:tcPr>
          <w:p>
            <w:pPr>
              <w:spacing w:line="312"/>
            </w:pPr>
            <w:r>
              <w:rPr>
                <w:rFonts w:ascii="Calibri"/>
                <w:color w:val="000000"/>
                <w:sz w:val="21"/>
                <w:szCs w:val="21"/>
              </w:rPr>
              <w:t xml:space="preserve">Python</w:t>
            </w:r>
          </w:p>
        </w:tc>
      </w:tr>
      <w:tr>
        <w:trPr>
          <w:cantSplit/>
        </w:trPr>
        <w:tc>
          <w:tcPr>
            <w:tcW w:type="pct" w:w="22%"/>
            <w:shd w:fill="FFFFFF" w:val="clear"/>
            <w:tcMar>
              <w:top w:type="dxa" w:w="60"/>
              <w:left w:type="dxa" w:w="120"/>
              <w:bottom w:type="dxa" w:w="60"/>
              <w:right w:type="dxa" w:w="120"/>
            </w:tcMar>
          </w:tcPr>
          <w:p>
            <w:pPr>
              <w:spacing w:line="312"/>
            </w:pPr>
            <w:r>
              <w:rPr>
                <w:rFonts w:ascii="Calibri"/>
                <w:color w:val="000000"/>
                <w:sz w:val="21"/>
                <w:szCs w:val="21"/>
              </w:rPr>
              <w:t xml:space="preserve">Database / Backend</w:t>
            </w:r>
          </w:p>
        </w:tc>
        <w:tc>
          <w:tcPr>
            <w:tcW w:type="pct" w:w="39%"/>
            <w:shd w:fill="FFFFFF" w:val="clear"/>
            <w:tcMar>
              <w:top w:type="dxa" w:w="60"/>
              <w:left w:type="dxa" w:w="120"/>
              <w:bottom w:type="dxa" w:w="60"/>
              <w:right w:type="dxa" w:w="120"/>
            </w:tcMar>
          </w:tcPr>
          <w:p>
            <w:pPr>
              <w:spacing w:line="312"/>
            </w:pPr>
            <w:r>
              <w:rPr>
                <w:rFonts w:ascii="Calibri"/>
                <w:color w:val="000000"/>
                <w:sz w:val="21"/>
                <w:szCs w:val="21"/>
              </w:rPr>
              <w:t xml:space="preserve">Supabase (PostgreSQL)</w:t>
            </w:r>
          </w:p>
        </w:tc>
        <w:tc>
          <w:tcPr>
            <w:tcW w:type="pct" w:w="39%"/>
            <w:shd w:fill="FFFFFF" w:val="clear"/>
            <w:tcMar>
              <w:top w:type="dxa" w:w="60"/>
              <w:left w:type="dxa" w:w="120"/>
              <w:bottom w:type="dxa" w:w="60"/>
              <w:right w:type="dxa" w:w="120"/>
            </w:tcMar>
          </w:tcPr>
          <w:p>
            <w:pPr>
              <w:spacing w:line="312"/>
            </w:pPr>
            <w:r>
              <w:rPr>
                <w:rFonts w:ascii="Calibri"/>
                <w:color w:val="000000"/>
                <w:sz w:val="21"/>
                <w:szCs w:val="21"/>
              </w:rPr>
              <w:t xml:space="preserve">Local-first execution</w:t>
            </w:r>
          </w:p>
        </w:tc>
      </w:tr>
      <w:tr>
        <w:trPr>
          <w:cantSplit/>
        </w:trPr>
        <w:tc>
          <w:tcPr>
            <w:tcW w:type="pct" w:w="22%"/>
            <w:shd w:fill="EDF3F5" w:val="clear"/>
            <w:tcMar>
              <w:top w:type="dxa" w:w="60"/>
              <w:left w:type="dxa" w:w="120"/>
              <w:bottom w:type="dxa" w:w="60"/>
              <w:right w:type="dxa" w:w="120"/>
            </w:tcMar>
          </w:tcPr>
          <w:p>
            <w:pPr>
              <w:spacing w:line="312"/>
            </w:pPr>
            <w:r>
              <w:rPr>
                <w:rFonts w:ascii="Calibri"/>
                <w:color w:val="000000"/>
                <w:sz w:val="21"/>
                <w:szCs w:val="21"/>
              </w:rPr>
              <w:t xml:space="preserve">Realtime</w:t>
            </w:r>
          </w:p>
        </w:tc>
        <w:tc>
          <w:tcPr>
            <w:tcW w:type="pct" w:w="39%"/>
            <w:shd w:fill="EDF3F5" w:val="clear"/>
            <w:tcMar>
              <w:top w:type="dxa" w:w="60"/>
              <w:left w:type="dxa" w:w="120"/>
              <w:bottom w:type="dxa" w:w="60"/>
              <w:right w:type="dxa" w:w="120"/>
            </w:tcMar>
          </w:tcPr>
          <w:p>
            <w:pPr>
              <w:spacing w:line="312"/>
            </w:pPr>
            <w:r>
              <w:rPr>
                <w:rFonts w:ascii="Calibri"/>
                <w:color w:val="000000"/>
                <w:sz w:val="21"/>
                <w:szCs w:val="21"/>
              </w:rPr>
              <w:t xml:space="preserve">Supabase Realtime (WebSocket)</w:t>
            </w:r>
          </w:p>
        </w:tc>
        <w:tc>
          <w:tcPr>
            <w:tcW w:type="pct" w:w="39%"/>
            <w:shd w:fill="EDF3F5" w:val="clear"/>
            <w:tcMar>
              <w:top w:type="dxa" w:w="60"/>
              <w:left w:type="dxa" w:w="120"/>
              <w:bottom w:type="dxa" w:w="60"/>
              <w:right w:type="dxa" w:w="120"/>
            </w:tcMar>
          </w:tcPr>
          <w:p>
            <w:pPr>
              <w:spacing w:line="312"/>
            </w:pPr>
            <w:r>
              <w:rPr>
                <w:rFonts w:ascii="Calibri"/>
                <w:color w:val="000000"/>
                <w:sz w:val="21"/>
                <w:szCs w:val="21"/>
              </w:rPr>
              <w:t xml:space="preserve">N/A</w:t>
            </w:r>
          </w:p>
        </w:tc>
      </w:tr>
      <w:tr>
        <w:trPr>
          <w:cantSplit/>
        </w:trPr>
        <w:tc>
          <w:tcPr>
            <w:tcW w:type="pct" w:w="22%"/>
            <w:shd w:fill="FFFFFF" w:val="clear"/>
            <w:tcMar>
              <w:top w:type="dxa" w:w="60"/>
              <w:left w:type="dxa" w:w="120"/>
              <w:bottom w:type="dxa" w:w="60"/>
              <w:right w:type="dxa" w:w="120"/>
            </w:tcMar>
          </w:tcPr>
          <w:p>
            <w:pPr>
              <w:spacing w:line="312"/>
            </w:pPr>
            <w:r>
              <w:rPr>
                <w:rFonts w:ascii="Calibri"/>
                <w:color w:val="000000"/>
                <w:sz w:val="21"/>
                <w:szCs w:val="21"/>
              </w:rPr>
              <w:t xml:space="preserve">Presence</w:t>
            </w:r>
          </w:p>
        </w:tc>
        <w:tc>
          <w:tcPr>
            <w:tcW w:type="pct" w:w="39%"/>
            <w:shd w:fill="FFFFFF" w:val="clear"/>
            <w:tcMar>
              <w:top w:type="dxa" w:w="60"/>
              <w:left w:type="dxa" w:w="120"/>
              <w:bottom w:type="dxa" w:w="60"/>
              <w:right w:type="dxa" w:w="120"/>
            </w:tcMar>
          </w:tcPr>
          <w:p>
            <w:pPr>
              <w:spacing w:line="312"/>
            </w:pPr>
            <w:r>
              <w:rPr>
                <w:rFonts w:ascii="Calibri"/>
                <w:color w:val="000000"/>
                <w:sz w:val="21"/>
                <w:szCs w:val="21"/>
              </w:rPr>
              <w:t xml:space="preserve">Supabase Presence</w:t>
            </w:r>
          </w:p>
        </w:tc>
        <w:tc>
          <w:tcPr>
            <w:tcW w:type="pct" w:w="39%"/>
            <w:shd w:fill="FFFFFF" w:val="clear"/>
            <w:tcMar>
              <w:top w:type="dxa" w:w="60"/>
              <w:left w:type="dxa" w:w="120"/>
              <w:bottom w:type="dxa" w:w="60"/>
              <w:right w:type="dxa" w:w="120"/>
            </w:tcMar>
          </w:tcPr>
          <w:p>
            <w:pPr>
              <w:spacing w:line="312"/>
            </w:pPr>
            <w:r>
              <w:rPr>
                <w:rFonts w:ascii="Calibri"/>
                <w:color w:val="000000"/>
                <w:sz w:val="21"/>
                <w:szCs w:val="21"/>
              </w:rPr>
              <w:t xml:space="preserve">N/A</w:t>
            </w:r>
          </w:p>
        </w:tc>
      </w:tr>
      <w:tr>
        <w:trPr>
          <w:cantSplit/>
        </w:trPr>
        <w:tc>
          <w:tcPr>
            <w:tcW w:type="pct" w:w="22%"/>
            <w:shd w:fill="EDF3F5" w:val="clear"/>
            <w:tcMar>
              <w:top w:type="dxa" w:w="60"/>
              <w:left w:type="dxa" w:w="120"/>
              <w:bottom w:type="dxa" w:w="60"/>
              <w:right w:type="dxa" w:w="120"/>
            </w:tcMar>
          </w:tcPr>
          <w:p>
            <w:pPr>
              <w:spacing w:line="312"/>
            </w:pPr>
            <w:r>
              <w:rPr>
                <w:rFonts w:ascii="Calibri"/>
                <w:color w:val="000000"/>
                <w:sz w:val="21"/>
                <w:szCs w:val="21"/>
              </w:rPr>
              <w:t xml:space="preserve">Auth / Security</w:t>
            </w:r>
          </w:p>
        </w:tc>
        <w:tc>
          <w:tcPr>
            <w:tcW w:type="pct" w:w="39%"/>
            <w:shd w:fill="EDF3F5" w:val="clear"/>
            <w:tcMar>
              <w:top w:type="dxa" w:w="60"/>
              <w:left w:type="dxa" w:w="120"/>
              <w:bottom w:type="dxa" w:w="60"/>
              <w:right w:type="dxa" w:w="120"/>
            </w:tcMar>
          </w:tcPr>
          <w:p>
            <w:pPr>
              <w:spacing w:line="312"/>
            </w:pPr>
            <w:r>
              <w:rPr>
                <w:rFonts w:ascii="Calibri"/>
                <w:color w:val="000000"/>
                <w:sz w:val="21"/>
                <w:szCs w:val="21"/>
              </w:rPr>
              <w:t xml:space="preserve">Supabase RLS + Auth</w:t>
            </w:r>
          </w:p>
        </w:tc>
        <w:tc>
          <w:tcPr>
            <w:tcW w:type="pct" w:w="39%"/>
            <w:shd w:fill="EDF3F5" w:val="clear"/>
            <w:tcMar>
              <w:top w:type="dxa" w:w="60"/>
              <w:left w:type="dxa" w:w="120"/>
              <w:bottom w:type="dxa" w:w="60"/>
              <w:right w:type="dxa" w:w="120"/>
            </w:tcMar>
          </w:tcPr>
          <w:p>
            <w:pPr>
              <w:spacing w:line="312"/>
            </w:pPr>
            <w:r>
              <w:rPr>
                <w:rFonts w:ascii="Calibri"/>
                <w:color w:val="000000"/>
                <w:sz w:val="21"/>
                <w:szCs w:val="21"/>
              </w:rPr>
              <w:t xml:space="preserve">Local privacy (no cloud exposure)</w:t>
            </w:r>
          </w:p>
        </w:tc>
      </w:tr>
      <w:tr>
        <w:trPr>
          <w:cantSplit/>
        </w:trPr>
        <w:tc>
          <w:tcPr>
            <w:tcW w:type="pct" w:w="22%"/>
            <w:shd w:fill="FFFFFF" w:val="clear"/>
            <w:tcMar>
              <w:top w:type="dxa" w:w="60"/>
              <w:left w:type="dxa" w:w="120"/>
              <w:bottom w:type="dxa" w:w="60"/>
              <w:right w:type="dxa" w:w="120"/>
            </w:tcMar>
          </w:tcPr>
          <w:p>
            <w:pPr>
              <w:spacing w:line="312"/>
            </w:pPr>
            <w:r>
              <w:rPr>
                <w:rFonts w:ascii="Calibri"/>
                <w:color w:val="000000"/>
                <w:sz w:val="21"/>
                <w:szCs w:val="21"/>
              </w:rPr>
              <w:t xml:space="preserve">AI Integration</w:t>
            </w:r>
          </w:p>
        </w:tc>
        <w:tc>
          <w:tcPr>
            <w:tcW w:type="pct" w:w="39%"/>
            <w:shd w:fill="FFFFFF" w:val="clear"/>
            <w:tcMar>
              <w:top w:type="dxa" w:w="60"/>
              <w:left w:type="dxa" w:w="120"/>
              <w:bottom w:type="dxa" w:w="60"/>
              <w:right w:type="dxa" w:w="120"/>
            </w:tcMar>
          </w:tcPr>
          <w:p>
            <w:pPr>
              <w:spacing w:line="312"/>
            </w:pPr>
            <w:r>
              <w:rPr>
                <w:rFonts w:ascii="Calibri"/>
                <w:color w:val="000000"/>
                <w:sz w:val="21"/>
                <w:szCs w:val="21"/>
              </w:rPr>
              <w:t xml:space="preserve">LLM-agnostic (multi-model)</w:t>
            </w:r>
          </w:p>
        </w:tc>
        <w:tc>
          <w:tcPr>
            <w:tcW w:type="pct" w:w="39%"/>
            <w:shd w:fill="FFFFFF" w:val="clear"/>
            <w:tcMar>
              <w:top w:type="dxa" w:w="60"/>
              <w:left w:type="dxa" w:w="120"/>
              <w:bottom w:type="dxa" w:w="60"/>
              <w:right w:type="dxa" w:w="120"/>
            </w:tcMar>
          </w:tcPr>
          <w:p>
            <w:pPr>
              <w:spacing w:line="312"/>
            </w:pPr>
            <w:r>
              <w:rPr>
                <w:rFonts w:ascii="Calibri"/>
                <w:color w:val="000000"/>
                <w:sz w:val="21"/>
                <w:szCs w:val="21"/>
              </w:rPr>
              <w:t xml:space="preserve">LLM-agnostic (cross-model validation)</w:t>
            </w:r>
          </w:p>
        </w:tc>
      </w:tr>
      <w:tr>
        <w:trPr>
          <w:cantSplit/>
        </w:trPr>
        <w:tc>
          <w:tcPr>
            <w:tcW w:type="pct" w:w="22%"/>
            <w:shd w:fill="EDF3F5" w:val="clear"/>
            <w:tcMar>
              <w:top w:type="dxa" w:w="60"/>
              <w:left w:type="dxa" w:w="120"/>
              <w:bottom w:type="dxa" w:w="60"/>
              <w:right w:type="dxa" w:w="120"/>
            </w:tcMar>
          </w:tcPr>
          <w:p>
            <w:pPr>
              <w:spacing w:line="312"/>
            </w:pPr>
            <w:r>
              <w:rPr>
                <w:rFonts w:ascii="Calibri"/>
                <w:color w:val="000000"/>
                <w:sz w:val="21"/>
                <w:szCs w:val="21"/>
              </w:rPr>
              <w:t xml:space="preserve">Output Formats</w:t>
            </w:r>
          </w:p>
        </w:tc>
        <w:tc>
          <w:tcPr>
            <w:tcW w:type="pct" w:w="39%"/>
            <w:shd w:fill="EDF3F5" w:val="clear"/>
            <w:tcMar>
              <w:top w:type="dxa" w:w="60"/>
              <w:left w:type="dxa" w:w="120"/>
              <w:bottom w:type="dxa" w:w="60"/>
              <w:right w:type="dxa" w:w="120"/>
            </w:tcMar>
          </w:tcPr>
          <w:p>
            <w:pPr>
              <w:spacing w:line="312"/>
            </w:pPr>
            <w:r>
              <w:rPr>
                <w:rFonts w:ascii="Calibri"/>
                <w:color w:val="000000"/>
                <w:sz w:val="21"/>
                <w:szCs w:val="21"/>
              </w:rPr>
              <w:t xml:space="preserve">Dashboard + Slack notifications</w:t>
            </w:r>
          </w:p>
        </w:tc>
        <w:tc>
          <w:tcPr>
            <w:tcW w:type="pct" w:w="39%"/>
            <w:shd w:fill="EDF3F5" w:val="clear"/>
            <w:tcMar>
              <w:top w:type="dxa" w:w="60"/>
              <w:left w:type="dxa" w:w="120"/>
              <w:bottom w:type="dxa" w:w="60"/>
              <w:right w:type="dxa" w:w="120"/>
            </w:tcMar>
          </w:tcPr>
          <w:p>
            <w:pPr>
              <w:spacing w:line="312"/>
            </w:pPr>
            <w:r>
              <w:rPr>
                <w:rFonts w:ascii="Calibri"/>
                <w:color w:val="000000"/>
                <w:sz w:val="21"/>
                <w:szCs w:val="21"/>
              </w:rPr>
              <w:t xml:space="preserve">Markdown, JSON, Excel</w:t>
            </w:r>
          </w:p>
        </w:tc>
      </w:tr>
      <w:tr>
        <w:trPr>
          <w:cantSplit/>
        </w:trPr>
        <w:tc>
          <w:tcPr>
            <w:tcW w:type="pct" w:w="22%"/>
            <w:shd w:fill="FFFFFF" w:val="clear"/>
            <w:tcMar>
              <w:top w:type="dxa" w:w="60"/>
              <w:left w:type="dxa" w:w="120"/>
              <w:bottom w:type="dxa" w:w="60"/>
              <w:right w:type="dxa" w:w="120"/>
            </w:tcMar>
          </w:tcPr>
          <w:p>
            <w:pPr>
              <w:spacing w:line="312"/>
            </w:pPr>
            <w:r>
              <w:rPr>
                <w:rFonts w:ascii="Calibri"/>
                <w:color w:val="000000"/>
                <w:sz w:val="21"/>
                <w:szCs w:val="21"/>
              </w:rPr>
              <w:t xml:space="preserve">License</w:t>
            </w:r>
          </w:p>
        </w:tc>
        <w:tc>
          <w:tcPr>
            <w:tcW w:type="pct" w:w="39%"/>
            <w:shd w:fill="FFFFFF" w:val="clear"/>
            <w:tcMar>
              <w:top w:type="dxa" w:w="60"/>
              <w:left w:type="dxa" w:w="120"/>
              <w:bottom w:type="dxa" w:w="60"/>
              <w:right w:type="dxa" w:w="120"/>
            </w:tcMar>
          </w:tcPr>
          <w:p>
            <w:pPr>
              <w:spacing w:line="312"/>
            </w:pPr>
            <w:r>
              <w:rPr>
                <w:rFonts w:ascii="Calibri"/>
                <w:color w:val="000000"/>
                <w:sz w:val="21"/>
                <w:szCs w:val="21"/>
              </w:rPr>
              <w:t xml:space="preserve">MIT</w:t>
            </w:r>
          </w:p>
        </w:tc>
        <w:tc>
          <w:tcPr>
            <w:tcW w:type="pct" w:w="39%"/>
            <w:shd w:fill="FFFFFF" w:val="clear"/>
            <w:tcMar>
              <w:top w:type="dxa" w:w="60"/>
              <w:left w:type="dxa" w:w="120"/>
              <w:bottom w:type="dxa" w:w="60"/>
              <w:right w:type="dxa" w:w="120"/>
            </w:tcMar>
          </w:tcPr>
          <w:p>
            <w:pPr>
              <w:spacing w:line="312"/>
            </w:pPr>
            <w:r>
              <w:rPr>
                <w:rFonts w:ascii="Calibri"/>
                <w:color w:val="000000"/>
                <w:sz w:val="21"/>
                <w:szCs w:val="21"/>
              </w:rPr>
              <w:t xml:space="preserve">MIT</w:t>
            </w:r>
          </w:p>
        </w:tc>
      </w:tr>
    </w:tbl>
    <w:p>
      <w:pPr>
        <w:spacing w:before="200"/>
      </w:pPr>
    </w:p>
    <w:p>
      <w:pPr>
        <w:pStyle w:val="Heading2"/>
        <w:spacing w:after="160" w:before="240" w:line="312"/>
      </w:pPr>
      <w:r>
        <w:rPr>
          <w:rFonts w:ascii="Calibri" w:eastAsia="Calibri"/>
          <w:b/>
          <w:bCs/>
          <w:color w:val="162235"/>
          <w:sz w:val="28"/>
          <w:szCs w:val="28"/>
        </w:rPr>
        <w:t xml:space="preserve">5.2 System Architecture</w:t>
      </w:r>
    </w:p>
    <w:p>
      <w:pPr>
        <w:spacing w:after="120" w:line="312"/>
        <w:jc w:val="both"/>
      </w:pPr>
      <w:r>
        <w:rPr>
          <w:rFonts w:ascii="Calibri" w:eastAsia="Calibri"/>
          <w:color w:val="000000"/>
          <w:sz w:val="24"/>
          <w:szCs w:val="24"/>
        </w:rPr>
        <w:t xml:space="preserve">The architecture follows a layered design pattern where each layer has a single responsibility and communicates through well-defined interfaces. The lowest layer is the Supabase PostgreSQL database, which stores operational data, decision audit trails, and user access policies. The Realtime and Presence layers sit on top, providing live data synchronization and collaborative awareness. MetaCommand's twelve agents occupy the orchestration layer, where they continuously analyze data streams and surface anomalies through the dashboard.</w:t>
      </w:r>
    </w:p>
    <w:p>
      <w:pPr>
        <w:spacing w:after="120" w:line="312"/>
        <w:jc w:val="both"/>
      </w:pPr>
      <w:r>
        <w:rPr>
          <w:rFonts w:ascii="Calibri" w:eastAsia="Calibri"/>
          <w:color w:val="000000"/>
          <w:sz w:val="24"/>
          <w:szCs w:val="24"/>
        </w:rPr>
        <w:t xml:space="preserve">The Consensus Hardening Protocol occupies the governance layer, intercepting decisions that require validation before human review. It communicates with multiple LLM providers through a provider-agnostic adapter pattern, allowing organizations to plug in their preferred models without code changes. The dashboard layer, built with Next.js 16 server components and client-side React, renders the unified view that combines operational monitoring with decision governance, giving finance teams a single pane of glass for both surveillance and action.</w:t>
      </w:r>
    </w:p>
    <w:p>
      <w:pPr>
        <w:pStyle w:val="Heading2"/>
        <w:spacing w:after="160" w:before="240" w:line="312"/>
      </w:pPr>
      <w:r>
        <w:rPr>
          <w:rFonts w:ascii="Calibri" w:eastAsia="Calibri"/>
          <w:b/>
          <w:bCs/>
          <w:color w:val="162235"/>
          <w:sz w:val="28"/>
          <w:szCs w:val="28"/>
        </w:rPr>
        <w:t xml:space="preserve">5.3 CFO Workflow Suite</w:t>
      </w:r>
    </w:p>
    <w:p>
      <w:pPr>
        <w:spacing w:after="120" w:line="312"/>
        <w:jc w:val="both"/>
      </w:pPr>
      <w:r>
        <w:rPr>
          <w:rFonts w:ascii="Calibri" w:eastAsia="Calibri"/>
          <w:color w:val="000000"/>
          <w:sz w:val="24"/>
          <w:szCs w:val="24"/>
        </w:rPr>
        <w:t xml:space="preserve">CHP ships with six purpose-built CFO workflows that embed the consensus hardening process into day-to-day finance operations: variance analysis with automated root-cause identification, 13-week cash forecasting with cross-model validation of projections, SaaS financial modeling with scenario hardening, board reporting with mandatory verification floors, accounts payable optimization with compliance gate checking, and multi-model investment case evaluation. Each workflow enforces the same EXPLORING through LOCKED state machine, ensuring that no financial output reaches a stakeholder without completing the full validation pipeline.</w:t>
      </w:r>
    </w:p>
    <w:p>
      <w:pPr>
        <w:pStyle w:val="Heading1"/>
        <w:spacing w:after="160" w:before="360" w:line="312"/>
      </w:pPr>
      <w:r>
        <w:rPr>
          <w:rFonts w:ascii="Calibri" w:eastAsia="Calibri"/>
          <w:b/>
          <w:bCs/>
          <w:color w:val="162235"/>
          <w:sz w:val="32"/>
          <w:szCs w:val="32"/>
        </w:rPr>
        <w:t xml:space="preserve">6. Innovation Highlights</w:t>
      </w:r>
    </w:p>
    <w:p>
      <w:pPr>
        <w:pStyle w:val="Heading2"/>
        <w:spacing w:after="160" w:before="240" w:line="312"/>
      </w:pPr>
      <w:r>
        <w:rPr>
          <w:rFonts w:ascii="Calibri" w:eastAsia="Calibri"/>
          <w:b/>
          <w:bCs/>
          <w:color w:val="162235"/>
          <w:sz w:val="28"/>
          <w:szCs w:val="28"/>
        </w:rPr>
        <w:t xml:space="preserve">6.1 Biological Metabolism Metaphor</w:t>
      </w:r>
    </w:p>
    <w:p>
      <w:pPr>
        <w:spacing w:after="120" w:line="312"/>
        <w:jc w:val="both"/>
      </w:pPr>
      <w:r>
        <w:rPr>
          <w:rFonts w:ascii="Calibri" w:eastAsia="Calibri"/>
          <w:color w:val="000000"/>
          <w:sz w:val="24"/>
          <w:szCs w:val="24"/>
        </w:rPr>
        <w:t xml:space="preserve">MetaCommand applies the biological metabolism metaphor to eCommerce operations, treating the organization as a living organism with five interconnected metabolic systems that must maintain equilibrium. This framing provides an intuitive mental model for operations teams: just as a biological organism monitors blood sugar, oxygen levels, and immune responses simultaneously, MetaCommand monitors capital, revenue, inventory, customer health, and operational efficiency in parallel. When one system shows stress signals, the cross-system analysis can identify cascading effects that a single-metric dashboard would miss.</w:t>
      </w:r>
    </w:p>
    <w:p>
      <w:pPr>
        <w:pStyle w:val="Heading2"/>
        <w:spacing w:after="160" w:before="240" w:line="312"/>
      </w:pPr>
      <w:r>
        <w:rPr>
          <w:rFonts w:ascii="Calibri" w:eastAsia="Calibri"/>
          <w:b/>
          <w:bCs/>
          <w:color w:val="162235"/>
          <w:sz w:val="28"/>
          <w:szCs w:val="28"/>
        </w:rPr>
        <w:t xml:space="preserve">6.2 Binary Verification for Finance</w:t>
      </w:r>
    </w:p>
    <w:p>
      <w:pPr>
        <w:spacing w:after="120" w:line="312"/>
        <w:jc w:val="both"/>
      </w:pPr>
      <w:r>
        <w:rPr>
          <w:rFonts w:ascii="Calibri" w:eastAsia="Calibri"/>
          <w:color w:val="000000"/>
          <w:sz w:val="24"/>
          <w:szCs w:val="24"/>
        </w:rPr>
        <w:t xml:space="preserve">Unlike typical AI systems that output confidence percentages, the Consensus Hardening Protocol enforces a definitive pass/fail binary on all financial decisions. This design choice reflects the reality of finance governance: a CFO cannot tell a board that a recommendation is 98% likely to be correct and ask them to approve it anyway. The policy floor is binary, meaning the system demands 100% completion of all verification gates before a decision can advance to LOCKED status. This philosophical approach to AI governance is a significant departure from probabilistic AI outputs and aligns with how financial regulators and auditors expect decisions to be documented and justified.</w:t>
      </w:r>
    </w:p>
    <w:p>
      <w:pPr>
        <w:pStyle w:val="Heading2"/>
        <w:spacing w:after="160" w:before="240" w:line="312"/>
      </w:pPr>
      <w:r>
        <w:rPr>
          <w:rFonts w:ascii="Calibri" w:eastAsia="Calibri"/>
          <w:b/>
          <w:bCs/>
          <w:color w:val="162235"/>
          <w:sz w:val="28"/>
          <w:szCs w:val="28"/>
        </w:rPr>
        <w:t xml:space="preserve">6.3 LLM-Agnostic Cross-Model Consensus</w:t>
      </w:r>
    </w:p>
    <w:p>
      <w:pPr>
        <w:spacing w:after="120" w:line="312"/>
        <w:jc w:val="both"/>
      </w:pPr>
      <w:r>
        <w:rPr>
          <w:rFonts w:ascii="Calibri" w:eastAsia="Calibri"/>
          <w:color w:val="000000"/>
          <w:sz w:val="24"/>
          <w:szCs w:val="24"/>
        </w:rPr>
        <w:t xml:space="preserve">By designing the system to be completely LLM-agnostic, MetaCommand x CHP avoids vendor lock-in and turns model disagreement into a feature rather than a bug. When multiple models disagree on a financial recommendation, the system captures the divergence as valuable signal rather than noise. Research in multi-model consensus has shown that voting protocols improve performance by 13.2% on reasoning tasks, and the protocol leverages this insight by requiring convergence across models before a decision can be hardened. Organizations can use any combination of open-source and proprietary models, adapting their AI provider strategy over time without reengineering the governance framework.</w:t>
      </w:r>
    </w:p>
    <w:p>
      <w:pPr>
        <w:pStyle w:val="Heading2"/>
        <w:spacing w:after="160" w:before="240" w:line="312"/>
      </w:pPr>
      <w:r>
        <w:rPr>
          <w:rFonts w:ascii="Calibri" w:eastAsia="Calibri"/>
          <w:b/>
          <w:bCs/>
          <w:color w:val="162235"/>
          <w:sz w:val="28"/>
          <w:szCs w:val="28"/>
        </w:rPr>
        <w:t xml:space="preserve">6.4 Local-First Privacy Architecture</w:t>
      </w:r>
    </w:p>
    <w:p>
      <w:pPr>
        <w:spacing w:after="120" w:line="312"/>
        <w:jc w:val="both"/>
      </w:pPr>
      <w:r>
        <w:rPr>
          <w:rFonts w:ascii="Calibri" w:eastAsia="Calibri"/>
          <w:color w:val="000000"/>
          <w:sz w:val="24"/>
          <w:szCs w:val="24"/>
        </w:rPr>
        <w:t xml:space="preserve">The Consensus Hardening Protocol runs entirely locally, ensuring that sensitive financial data, strategic projections, and proprietary business logic never leave the organization's infrastructure. This design addresses one of the primary objections finance teams raise against AI tools: data confidentiality. While MetaCommand's real-time collaboration layer uses cloud-hosted Supabase for synchronization, the decision verification engine operates on-premises, creating a hybrid architecture where collaborative monitoring happens in the cloud but decision governance stays behind the firewall.</w:t>
      </w:r>
    </w:p>
    <w:p>
      <w:pPr>
        <w:pStyle w:val="Heading1"/>
        <w:spacing w:after="160" w:before="360" w:line="312"/>
      </w:pPr>
      <w:r>
        <w:rPr>
          <w:rFonts w:ascii="Calibri" w:eastAsia="Calibri"/>
          <w:b/>
          <w:bCs/>
          <w:color w:val="162235"/>
          <w:sz w:val="32"/>
          <w:szCs w:val="32"/>
        </w:rPr>
        <w:t xml:space="preserve">7. Alignment with Hackspire Judging Criteria</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W w:type="pct" w:w="20%"/>
            <w:shd w:fill="1B6B7A" w:val="clear"/>
            <w:tcMar>
              <w:top w:type="dxa" w:w="60"/>
              <w:left w:type="dxa" w:w="120"/>
              <w:bottom w:type="dxa" w:w="60"/>
              <w:right w:type="dxa" w:w="120"/>
            </w:tcMar>
          </w:tcPr>
          <w:p>
            <w:r>
              <w:rPr>
                <w:rFonts w:ascii="Calibri"/>
                <w:b/>
                <w:bCs/>
                <w:color w:val="FFFFFF"/>
                <w:sz w:val="21"/>
                <w:szCs w:val="21"/>
              </w:rPr>
              <w:t xml:space="preserve">Criterion</w:t>
            </w:r>
          </w:p>
        </w:tc>
        <w:tc>
          <w:tcPr>
            <w:tcW w:type="pct" w:w="80%"/>
            <w:shd w:fill="1B6B7A" w:val="clear"/>
            <w:tcMar>
              <w:top w:type="dxa" w:w="60"/>
              <w:left w:type="dxa" w:w="120"/>
              <w:bottom w:type="dxa" w:w="60"/>
              <w:right w:type="dxa" w:w="120"/>
            </w:tcMar>
          </w:tcPr>
          <w:p>
            <w:r>
              <w:rPr>
                <w:rFonts w:ascii="Calibri"/>
                <w:b/>
                <w:bCs/>
                <w:color w:val="FFFFFF"/>
                <w:sz w:val="21"/>
                <w:szCs w:val="21"/>
              </w:rPr>
              <w:t xml:space="preserve">How We Address It</w:t>
            </w:r>
          </w:p>
        </w:tc>
      </w:tr>
      <w:tr>
        <w:trPr>
          <w:cantSplit/>
        </w:trPr>
        <w:tc>
          <w:tcPr>
            <w:tcW w:type="pct" w:w="20%"/>
            <w:shd w:fill="EDF3F5" w:val="clear"/>
            <w:tcMar>
              <w:top w:type="dxa" w:w="60"/>
              <w:left w:type="dxa" w:w="120"/>
              <w:bottom w:type="dxa" w:w="60"/>
              <w:right w:type="dxa" w:w="120"/>
            </w:tcMar>
          </w:tcPr>
          <w:p>
            <w:pPr>
              <w:spacing w:line="312"/>
            </w:pPr>
            <w:r>
              <w:rPr>
                <w:rFonts w:ascii="Calibri"/>
                <w:color w:val="000000"/>
                <w:sz w:val="21"/>
                <w:szCs w:val="21"/>
              </w:rPr>
              <w:t xml:space="preserve">Creativity</w:t>
            </w:r>
          </w:p>
        </w:tc>
        <w:tc>
          <w:tcPr>
            <w:tcW w:type="pct" w:w="80%"/>
            <w:shd w:fill="EDF3F5" w:val="clear"/>
            <w:tcMar>
              <w:top w:type="dxa" w:w="60"/>
              <w:left w:type="dxa" w:w="120"/>
              <w:bottom w:type="dxa" w:w="60"/>
              <w:right w:type="dxa" w:w="120"/>
            </w:tcMar>
          </w:tcPr>
          <w:p>
            <w:pPr>
              <w:spacing w:line="312"/>
            </w:pPr>
            <w:r>
              <w:rPr>
                <w:rFonts w:ascii="Calibri"/>
                <w:color w:val="000000"/>
                <w:sz w:val="21"/>
                <w:szCs w:val="21"/>
              </w:rPr>
              <w:t xml:space="preserve">Novel biological metabolism metaphor for commerce ops; binary verification floor philosophy for finance AI; cross-model consensus as a feature, not a bug.</w:t>
            </w:r>
          </w:p>
        </w:tc>
      </w:tr>
      <w:tr>
        <w:trPr>
          <w:cantSplit/>
        </w:trPr>
        <w:tc>
          <w:tcPr>
            <w:tcW w:type="pct" w:w="20%"/>
            <w:shd w:fill="FFFFFF" w:val="clear"/>
            <w:tcMar>
              <w:top w:type="dxa" w:w="60"/>
              <w:left w:type="dxa" w:w="120"/>
              <w:bottom w:type="dxa" w:w="60"/>
              <w:right w:type="dxa" w:w="120"/>
            </w:tcMar>
          </w:tcPr>
          <w:p>
            <w:pPr>
              <w:spacing w:line="312"/>
            </w:pPr>
            <w:r>
              <w:rPr>
                <w:rFonts w:ascii="Calibri"/>
                <w:color w:val="000000"/>
                <w:sz w:val="21"/>
                <w:szCs w:val="21"/>
              </w:rPr>
              <w:t xml:space="preserve">Responsiveness</w:t>
            </w:r>
          </w:p>
        </w:tc>
        <w:tc>
          <w:tcPr>
            <w:tcW w:type="pct" w:w="80%"/>
            <w:shd w:fill="FFFFFF" w:val="clear"/>
            <w:tcMar>
              <w:top w:type="dxa" w:w="60"/>
              <w:left w:type="dxa" w:w="120"/>
              <w:bottom w:type="dxa" w:w="60"/>
              <w:right w:type="dxa" w:w="120"/>
            </w:tcMar>
          </w:tcPr>
          <w:p>
            <w:pPr>
              <w:spacing w:line="312"/>
            </w:pPr>
            <w:r>
              <w:rPr>
                <w:rFonts w:ascii="Calibri"/>
                <w:color w:val="000000"/>
                <w:sz w:val="21"/>
                <w:szCs w:val="21"/>
              </w:rPr>
              <w:t xml:space="preserve">Directly addresses three critical gaps in AI-assisted finance: opaque reasoning, conflicting model outputs, and missing governance middleware for capital decisions.</w:t>
            </w:r>
          </w:p>
        </w:tc>
      </w:tr>
      <w:tr>
        <w:trPr>
          <w:cantSplit/>
        </w:trPr>
        <w:tc>
          <w:tcPr>
            <w:tcW w:type="pct" w:w="20%"/>
            <w:shd w:fill="EDF3F5" w:val="clear"/>
            <w:tcMar>
              <w:top w:type="dxa" w:w="60"/>
              <w:left w:type="dxa" w:w="120"/>
              <w:bottom w:type="dxa" w:w="60"/>
              <w:right w:type="dxa" w:w="120"/>
            </w:tcMar>
          </w:tcPr>
          <w:p>
            <w:pPr>
              <w:spacing w:line="312"/>
            </w:pPr>
            <w:r>
              <w:rPr>
                <w:rFonts w:ascii="Calibri"/>
                <w:color w:val="000000"/>
                <w:sz w:val="21"/>
                <w:szCs w:val="21"/>
              </w:rPr>
              <w:t xml:space="preserve">Functionality</w:t>
            </w:r>
          </w:p>
        </w:tc>
        <w:tc>
          <w:tcPr>
            <w:tcW w:type="pct" w:w="80%"/>
            <w:shd w:fill="EDF3F5" w:val="clear"/>
            <w:tcMar>
              <w:top w:type="dxa" w:w="60"/>
              <w:left w:type="dxa" w:w="120"/>
              <w:bottom w:type="dxa" w:w="60"/>
              <w:right w:type="dxa" w:w="120"/>
            </w:tcMar>
          </w:tcPr>
          <w:p>
            <w:pPr>
              <w:spacing w:line="312"/>
            </w:pPr>
            <w:r>
              <w:rPr>
                <w:rFonts w:ascii="Calibri"/>
                <w:color w:val="000000"/>
                <w:sz w:val="21"/>
                <w:szCs w:val="21"/>
              </w:rPr>
              <w:t xml:space="preserve">Working prototype with 12 specialized agents across 5 metabolic systems; consensus state machine with EXPLORING to LOCKED progression; real-time Supabase-powered dashboard.</w:t>
            </w:r>
          </w:p>
        </w:tc>
      </w:tr>
      <w:tr>
        <w:trPr>
          <w:cantSplit/>
        </w:trPr>
        <w:tc>
          <w:tcPr>
            <w:tcW w:type="pct" w:w="20%"/>
            <w:shd w:fill="FFFFFF" w:val="clear"/>
            <w:tcMar>
              <w:top w:type="dxa" w:w="60"/>
              <w:left w:type="dxa" w:w="120"/>
              <w:bottom w:type="dxa" w:w="60"/>
              <w:right w:type="dxa" w:w="120"/>
            </w:tcMar>
          </w:tcPr>
          <w:p>
            <w:pPr>
              <w:spacing w:line="312"/>
            </w:pPr>
            <w:r>
              <w:rPr>
                <w:rFonts w:ascii="Calibri"/>
                <w:color w:val="000000"/>
                <w:sz w:val="21"/>
                <w:szCs w:val="21"/>
              </w:rPr>
              <w:t xml:space="preserve">Design &amp; Aesthetics</w:t>
            </w:r>
          </w:p>
        </w:tc>
        <w:tc>
          <w:tcPr>
            <w:tcW w:type="pct" w:w="80%"/>
            <w:shd w:fill="FFFFFF" w:val="clear"/>
            <w:tcMar>
              <w:top w:type="dxa" w:w="60"/>
              <w:left w:type="dxa" w:w="120"/>
              <w:bottom w:type="dxa" w:w="60"/>
              <w:right w:type="dxa" w:w="120"/>
            </w:tcMar>
          </w:tcPr>
          <w:p>
            <w:pPr>
              <w:spacing w:line="312"/>
            </w:pPr>
            <w:r>
              <w:rPr>
                <w:rFonts w:ascii="Calibri"/>
                <w:color w:val="000000"/>
                <w:sz w:val="21"/>
                <w:szCs w:val="21"/>
              </w:rPr>
              <w:t xml:space="preserve">Clean, professional dashboard with role-scoped UI; dark theme optimized for finance workflow; real-time collaborative interface with presence indicators.</w:t>
            </w:r>
          </w:p>
        </w:tc>
      </w:tr>
    </w:tbl>
    <w:p>
      <w:pPr>
        <w:spacing w:before="200"/>
      </w:pPr>
    </w:p>
    <w:p>
      <w:pPr>
        <w:pStyle w:val="Heading1"/>
        <w:spacing w:after="160" w:before="360" w:line="312"/>
      </w:pPr>
      <w:r>
        <w:rPr>
          <w:rFonts w:ascii="Calibri" w:eastAsia="Calibri"/>
          <w:b/>
          <w:bCs/>
          <w:color w:val="162235"/>
          <w:sz w:val="32"/>
          <w:szCs w:val="32"/>
        </w:rPr>
        <w:t xml:space="preserve">8. Future Roadmap</w:t>
      </w:r>
    </w:p>
    <w:p>
      <w:pPr>
        <w:spacing w:after="120" w:line="312"/>
        <w:jc w:val="both"/>
      </w:pPr>
      <w:r>
        <w:rPr>
          <w:rFonts w:ascii="Calibri" w:eastAsia="Calibri"/>
          <w:color w:val="000000"/>
          <w:sz w:val="24"/>
          <w:szCs w:val="24"/>
        </w:rPr>
        <w:t xml:space="preserve">The immediate roadmap focuses on expanding the platform from its current MVP vertical slice into a full production system. The Operations Dashboard, which provides system-wide monitoring across all five metabolic systems, is the highest priority for the next development cycle. This will be followed by the Settings UI for organizational configuration, a comprehensive test suite expansion, and integration with popular eCommerce platforms including Shopify, Amazon Seller Central, and WooCommerce.</w:t>
      </w:r>
    </w:p>
    <w:p>
      <w:pPr>
        <w:spacing w:after="120" w:line="312"/>
        <w:jc w:val="both"/>
      </w:pPr>
      <w:r>
        <w:rPr>
          <w:rFonts w:ascii="Calibri" w:eastAsia="Calibri"/>
          <w:color w:val="000000"/>
          <w:sz w:val="24"/>
          <w:szCs w:val="24"/>
        </w:rPr>
        <w:t xml:space="preserve">Medium-term plans include adding natural language query capabilities that allow finance team members to ask questions about their data in plain English and receive consensus-validated answers. The team also plans to build a marketplace of pre-built agent configurations for common eCommerce verticals (DTC, marketplace sellers, subscription commerce), reducing setup time for new organizations. Long-term, the vision includes extending the consensus hardening framework to non-finance domains such as legal contract review, HR policy decisions, and supply chain risk assessment, creating a general-purpose AI governance platform.</w:t>
      </w:r>
    </w:p>
    <w:p>
      <w:pPr>
        <w:pStyle w:val="Heading1"/>
        <w:spacing w:after="160" w:before="360" w:line="312"/>
      </w:pPr>
      <w:r>
        <w:rPr>
          <w:rFonts w:ascii="Calibri" w:eastAsia="Calibri"/>
          <w:b/>
          <w:bCs/>
          <w:color w:val="162235"/>
          <w:sz w:val="32"/>
          <w:szCs w:val="32"/>
        </w:rPr>
        <w:t xml:space="preserve">9. Project Links &amp; Team</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W w:type="pct" w:w="30%"/>
            <w:shd w:fill="1B6B7A" w:val="clear"/>
            <w:tcMar>
              <w:top w:type="dxa" w:w="60"/>
              <w:left w:type="dxa" w:w="120"/>
              <w:bottom w:type="dxa" w:w="60"/>
              <w:right w:type="dxa" w:w="120"/>
            </w:tcMar>
          </w:tcPr>
          <w:p>
            <w:r>
              <w:rPr>
                <w:rFonts w:ascii="Calibri"/>
                <w:b/>
                <w:bCs/>
                <w:color w:val="FFFFFF"/>
                <w:sz w:val="21"/>
                <w:szCs w:val="21"/>
              </w:rPr>
              <w:t xml:space="preserve">Item</w:t>
            </w:r>
          </w:p>
        </w:tc>
        <w:tc>
          <w:tcPr>
            <w:tcW w:type="pct" w:w="70%"/>
            <w:shd w:fill="1B6B7A" w:val="clear"/>
            <w:tcMar>
              <w:top w:type="dxa" w:w="60"/>
              <w:left w:type="dxa" w:w="120"/>
              <w:bottom w:type="dxa" w:w="60"/>
              <w:right w:type="dxa" w:w="120"/>
            </w:tcMar>
          </w:tcPr>
          <w:p>
            <w:r>
              <w:rPr>
                <w:rFonts w:ascii="Calibri"/>
                <w:b/>
                <w:bCs/>
                <w:color w:val="FFFFFF"/>
                <w:sz w:val="21"/>
                <w:szCs w:val="21"/>
              </w:rPr>
              <w:t xml:space="preserve">Details</w:t>
            </w:r>
          </w:p>
        </w:tc>
      </w:tr>
      <w:tr>
        <w:trPr>
          <w:cantSplit/>
        </w:trPr>
        <w:tc>
          <w:tcPr>
            <w:tcW w:type="pct" w:w="30%"/>
            <w:shd w:fill="EDF3F5" w:val="clear"/>
            <w:tcMar>
              <w:top w:type="dxa" w:w="60"/>
              <w:left w:type="dxa" w:w="120"/>
              <w:bottom w:type="dxa" w:w="60"/>
              <w:right w:type="dxa" w:w="120"/>
            </w:tcMar>
          </w:tcPr>
          <w:p>
            <w:pPr>
              <w:spacing w:line="312"/>
            </w:pPr>
            <w:r>
              <w:rPr>
                <w:rFonts w:ascii="Calibri"/>
                <w:color w:val="000000"/>
                <w:sz w:val="21"/>
                <w:szCs w:val="21"/>
              </w:rPr>
              <w:t xml:space="preserve">GitHub (MetaCommand)</w:t>
            </w:r>
          </w:p>
        </w:tc>
        <w:tc>
          <w:tcPr>
            <w:tcW w:type="pct" w:w="70%"/>
            <w:shd w:fill="EDF3F5" w:val="clear"/>
            <w:tcMar>
              <w:top w:type="dxa" w:w="60"/>
              <w:left w:type="dxa" w:w="120"/>
              <w:bottom w:type="dxa" w:w="60"/>
              <w:right w:type="dxa" w:w="120"/>
            </w:tcMar>
          </w:tcPr>
          <w:p>
            <w:pPr>
              <w:spacing w:line="312"/>
            </w:pPr>
            <w:r>
              <w:rPr>
                <w:rFonts w:ascii="Calibri"/>
                <w:color w:val="000000"/>
                <w:sz w:val="21"/>
                <w:szCs w:val="21"/>
              </w:rPr>
              <w:t xml:space="preserve">https://github.com/zan-maker/metabocommand</w:t>
            </w:r>
          </w:p>
        </w:tc>
      </w:tr>
      <w:tr>
        <w:trPr>
          <w:cantSplit/>
        </w:trPr>
        <w:tc>
          <w:tcPr>
            <w:tcW w:type="pct" w:w="30%"/>
            <w:shd w:fill="FFFFFF" w:val="clear"/>
            <w:tcMar>
              <w:top w:type="dxa" w:w="60"/>
              <w:left w:type="dxa" w:w="120"/>
              <w:bottom w:type="dxa" w:w="60"/>
              <w:right w:type="dxa" w:w="120"/>
            </w:tcMar>
          </w:tcPr>
          <w:p>
            <w:pPr>
              <w:spacing w:line="312"/>
            </w:pPr>
            <w:r>
              <w:rPr>
                <w:rFonts w:ascii="Calibri"/>
                <w:color w:val="000000"/>
                <w:sz w:val="21"/>
                <w:szCs w:val="21"/>
              </w:rPr>
              <w:t xml:space="preserve">GitHub (CHP)</w:t>
            </w:r>
          </w:p>
        </w:tc>
        <w:tc>
          <w:tcPr>
            <w:tcW w:type="pct" w:w="70%"/>
            <w:shd w:fill="FFFFFF" w:val="clear"/>
            <w:tcMar>
              <w:top w:type="dxa" w:w="60"/>
              <w:left w:type="dxa" w:w="120"/>
              <w:bottom w:type="dxa" w:w="60"/>
              <w:right w:type="dxa" w:w="120"/>
            </w:tcMar>
          </w:tcPr>
          <w:p>
            <w:pPr>
              <w:spacing w:line="312"/>
            </w:pPr>
            <w:r>
              <w:rPr>
                <w:rFonts w:ascii="Calibri"/>
                <w:color w:val="000000"/>
                <w:sz w:val="21"/>
                <w:szCs w:val="21"/>
              </w:rPr>
              <w:t xml:space="preserve">https://github.com/zan-maker/consensus-hardening-protocol</w:t>
            </w:r>
          </w:p>
        </w:tc>
      </w:tr>
      <w:tr>
        <w:trPr>
          <w:cantSplit/>
        </w:trPr>
        <w:tc>
          <w:tcPr>
            <w:tcW w:type="pct" w:w="30%"/>
            <w:shd w:fill="EDF3F5" w:val="clear"/>
            <w:tcMar>
              <w:top w:type="dxa" w:w="60"/>
              <w:left w:type="dxa" w:w="120"/>
              <w:bottom w:type="dxa" w:w="60"/>
              <w:right w:type="dxa" w:w="120"/>
            </w:tcMar>
          </w:tcPr>
          <w:p>
            <w:pPr>
              <w:spacing w:line="312"/>
            </w:pPr>
            <w:r>
              <w:rPr>
                <w:rFonts w:ascii="Calibri"/>
                <w:color w:val="000000"/>
                <w:sz w:val="21"/>
                <w:szCs w:val="21"/>
              </w:rPr>
              <w:t xml:space="preserve">Organization</w:t>
            </w:r>
          </w:p>
        </w:tc>
        <w:tc>
          <w:tcPr>
            <w:tcW w:type="pct" w:w="70%"/>
            <w:shd w:fill="EDF3F5" w:val="clear"/>
            <w:tcMar>
              <w:top w:type="dxa" w:w="60"/>
              <w:left w:type="dxa" w:w="120"/>
              <w:bottom w:type="dxa" w:w="60"/>
              <w:right w:type="dxa" w:w="120"/>
            </w:tcMar>
          </w:tcPr>
          <w:p>
            <w:pPr>
              <w:spacing w:line="312"/>
            </w:pPr>
            <w:r>
              <w:rPr>
                <w:rFonts w:ascii="Calibri"/>
                <w:color w:val="000000"/>
                <w:sz w:val="21"/>
                <w:szCs w:val="21"/>
              </w:rPr>
              <w:t xml:space="preserve">zan-maker</w:t>
            </w:r>
          </w:p>
        </w:tc>
      </w:tr>
      <w:tr>
        <w:trPr>
          <w:cantSplit/>
        </w:trPr>
        <w:tc>
          <w:tcPr>
            <w:tcW w:type="pct" w:w="30%"/>
            <w:shd w:fill="FFFFFF" w:val="clear"/>
            <w:tcMar>
              <w:top w:type="dxa" w:w="60"/>
              <w:left w:type="dxa" w:w="120"/>
              <w:bottom w:type="dxa" w:w="60"/>
              <w:right w:type="dxa" w:w="120"/>
            </w:tcMar>
          </w:tcPr>
          <w:p>
            <w:pPr>
              <w:spacing w:line="312"/>
            </w:pPr>
            <w:r>
              <w:rPr>
                <w:rFonts w:ascii="Calibri"/>
                <w:color w:val="000000"/>
                <w:sz w:val="21"/>
                <w:szCs w:val="21"/>
              </w:rPr>
              <w:t xml:space="preserve">License</w:t>
            </w:r>
          </w:p>
        </w:tc>
        <w:tc>
          <w:tcPr>
            <w:tcW w:type="pct" w:w="70%"/>
            <w:shd w:fill="FFFFFF" w:val="clear"/>
            <w:tcMar>
              <w:top w:type="dxa" w:w="60"/>
              <w:left w:type="dxa" w:w="120"/>
              <w:bottom w:type="dxa" w:w="60"/>
              <w:right w:type="dxa" w:w="120"/>
            </w:tcMar>
          </w:tcPr>
          <w:p>
            <w:pPr>
              <w:spacing w:line="312"/>
            </w:pPr>
            <w:r>
              <w:rPr>
                <w:rFonts w:ascii="Calibri"/>
                <w:color w:val="000000"/>
                <w:sz w:val="21"/>
                <w:szCs w:val="21"/>
              </w:rPr>
              <w:t xml:space="preserve">MIT (Open Source)</w:t>
            </w:r>
          </w:p>
        </w:tc>
      </w:tr>
      <w:tr>
        <w:trPr>
          <w:cantSplit/>
        </w:trPr>
        <w:tc>
          <w:tcPr>
            <w:tcW w:type="pct" w:w="30%"/>
            <w:shd w:fill="EDF3F5" w:val="clear"/>
            <w:tcMar>
              <w:top w:type="dxa" w:w="60"/>
              <w:left w:type="dxa" w:w="120"/>
              <w:bottom w:type="dxa" w:w="60"/>
              <w:right w:type="dxa" w:w="120"/>
            </w:tcMar>
          </w:tcPr>
          <w:p>
            <w:pPr>
              <w:spacing w:line="312"/>
            </w:pPr>
            <w:r>
              <w:rPr>
                <w:rFonts w:ascii="Calibri"/>
                <w:color w:val="000000"/>
                <w:sz w:val="21"/>
                <w:szCs w:val="21"/>
              </w:rPr>
              <w:t xml:space="preserve">Hackathon</w:t>
            </w:r>
          </w:p>
        </w:tc>
        <w:tc>
          <w:tcPr>
            <w:tcW w:type="pct" w:w="70%"/>
            <w:shd w:fill="EDF3F5" w:val="clear"/>
            <w:tcMar>
              <w:top w:type="dxa" w:w="60"/>
              <w:left w:type="dxa" w:w="120"/>
              <w:bottom w:type="dxa" w:w="60"/>
              <w:right w:type="dxa" w:w="120"/>
            </w:tcMar>
          </w:tcPr>
          <w:p>
            <w:pPr>
              <w:spacing w:line="312"/>
            </w:pPr>
            <w:r>
              <w:rPr>
                <w:rFonts w:ascii="Calibri"/>
                <w:color w:val="000000"/>
                <w:sz w:val="21"/>
                <w:szCs w:val="21"/>
              </w:rPr>
              <w:t xml:space="preserve">Hackspire Hackathon 2026</w:t>
            </w:r>
          </w:p>
        </w:tc>
      </w:tr>
      <w:tr>
        <w:trPr>
          <w:cantSplit/>
        </w:trPr>
        <w:tc>
          <w:tcPr>
            <w:tcW w:type="pct" w:w="30%"/>
            <w:shd w:fill="FFFFFF" w:val="clear"/>
            <w:tcMar>
              <w:top w:type="dxa" w:w="60"/>
              <w:left w:type="dxa" w:w="120"/>
              <w:bottom w:type="dxa" w:w="60"/>
              <w:right w:type="dxa" w:w="120"/>
            </w:tcMar>
          </w:tcPr>
          <w:p>
            <w:pPr>
              <w:spacing w:line="312"/>
            </w:pPr>
            <w:r>
              <w:rPr>
                <w:rFonts w:ascii="Calibri"/>
                <w:color w:val="000000"/>
                <w:sz w:val="21"/>
                <w:szCs w:val="21"/>
              </w:rPr>
              <w:t xml:space="preserve">Primary Track</w:t>
            </w:r>
          </w:p>
        </w:tc>
        <w:tc>
          <w:tcPr>
            <w:tcW w:type="pct" w:w="70%"/>
            <w:shd w:fill="FFFFFF" w:val="clear"/>
            <w:tcMar>
              <w:top w:type="dxa" w:w="60"/>
              <w:left w:type="dxa" w:w="120"/>
              <w:bottom w:type="dxa" w:w="60"/>
              <w:right w:type="dxa" w:w="120"/>
            </w:tcMar>
          </w:tcPr>
          <w:p>
            <w:pPr>
              <w:spacing w:line="312"/>
            </w:pPr>
            <w:r>
              <w:rPr>
                <w:rFonts w:ascii="Calibri"/>
                <w:color w:val="000000"/>
                <w:sz w:val="21"/>
                <w:szCs w:val="21"/>
              </w:rPr>
              <w:t xml:space="preserve">Finance &amp; FinTech</w:t>
            </w:r>
          </w:p>
        </w:tc>
      </w:tr>
      <w:tr>
        <w:trPr>
          <w:cantSplit/>
        </w:trPr>
        <w:tc>
          <w:tcPr>
            <w:tcW w:type="pct" w:w="30%"/>
            <w:shd w:fill="EDF3F5" w:val="clear"/>
            <w:tcMar>
              <w:top w:type="dxa" w:w="60"/>
              <w:left w:type="dxa" w:w="120"/>
              <w:bottom w:type="dxa" w:w="60"/>
              <w:right w:type="dxa" w:w="120"/>
            </w:tcMar>
          </w:tcPr>
          <w:p>
            <w:pPr>
              <w:spacing w:line="312"/>
            </w:pPr>
            <w:r>
              <w:rPr>
                <w:rFonts w:ascii="Calibri"/>
                <w:color w:val="000000"/>
                <w:sz w:val="21"/>
                <w:szCs w:val="21"/>
              </w:rPr>
              <w:t xml:space="preserve">Secondary Track</w:t>
            </w:r>
          </w:p>
        </w:tc>
        <w:tc>
          <w:tcPr>
            <w:tcW w:type="pct" w:w="70%"/>
            <w:shd w:fill="EDF3F5" w:val="clear"/>
            <w:tcMar>
              <w:top w:type="dxa" w:w="60"/>
              <w:left w:type="dxa" w:w="120"/>
              <w:bottom w:type="dxa" w:w="60"/>
              <w:right w:type="dxa" w:w="120"/>
            </w:tcMar>
          </w:tcPr>
          <w:p>
            <w:pPr>
              <w:spacing w:line="312"/>
            </w:pPr>
            <w:r>
              <w:rPr>
                <w:rFonts w:ascii="Calibri"/>
                <w:color w:val="000000"/>
                <w:sz w:val="21"/>
                <w:szCs w:val="21"/>
              </w:rPr>
              <w:t xml:space="preserve">Artificial Intelligence &amp; Machine Learning</w:t>
            </w:r>
          </w:p>
        </w:tc>
      </w:tr>
    </w:tbl>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A6080"/>
        <w:sz w:val="18"/>
        <w:szCs w:val="18"/>
      </w:rPr>
      <w:t xml:space="preserve">MetaCommand x CHP  |  Hackspire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eastAsia="Calibri"/>
      <w:b/>
      <w:bCs/>
      <w:color w:val="162235"/>
      <w:sz w:val="32"/>
      <w:szCs w:val="32"/>
    </w:rPr>
  </w:style>
  <w:style w:type="paragraph" w:styleId="Heading2">
    <w:name w:val="Heading 2"/>
    <w:basedOn w:val="Normal"/>
    <w:next w:val="Normal"/>
    <w:qFormat/>
    <w:pPr>
      <w:spacing w:after="120" w:before="240" w:line="312"/>
    </w:pPr>
    <w:rPr>
      <w:rFonts w:ascii="Calibri" w:eastAsia="Calibri"/>
      <w:b/>
      <w:bCs/>
      <w:color w:val="162235"/>
      <w:sz w:val="28"/>
      <w:szCs w:val="28"/>
    </w:rPr>
  </w:style>
  <w:style w:type="paragraph" w:styleId="Heading3">
    <w:name w:val="Heading 3"/>
    <w:basedOn w:val="Normal"/>
    <w:next w:val="Normal"/>
    <w:qFormat/>
    <w:pPr>
      <w:spacing w:after="100" w:before="200" w:line="312"/>
    </w:pPr>
    <w:rPr>
      <w:rFonts w:ascii="Calibri" w:eastAsia="Calibri"/>
      <w:b/>
      <w:bCs/>
      <w:color w:val="16223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2026-05-01T15:36:55.380Z</dcterms:created>
  <dcterms:modified xsi:type="dcterms:W3CDTF">2026-05-01T15:36:55.381Z</dcterms:modified>
</cp:coreProperties>
</file>

<file path=docProps/custom.xml><?xml version="1.0" encoding="utf-8"?>
<Properties xmlns="http://schemas.openxmlformats.org/officeDocument/2006/custom-properties" xmlns:vt="http://schemas.openxmlformats.org/officeDocument/2006/docPropsVTypes"/>
</file>