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Mar>
              <w:top w:type="dxa" w:w="0"/>
              <w:left w:type="dxa" w:w="1800"/>
              <w:bottom w:type="dxa" w:w="0"/>
              <w:right w:type="dxa" w:w="1800"/>
            </w:tcMar>
            <w:vAlign w:val="top"/>
          </w:tcPr>
          <w:p>
            <w:pPr>
              <w:spacing w:before="4000"/>
            </w:pPr>
          </w:p>
          <w:p>
            <w:pPr>
              <w:pBdr>
                <w:bottom w:val="single" w:color="37DCF2" w:sz="6" w:space="8"/>
              </w:pBdr>
              <w:spacing w:after="400"/>
              <w:ind w:right="6000"/>
            </w:pPr>
          </w:p>
          <w:p>
            <w:pPr>
              <w:spacing w:after="200" w:line="920" w:lineRule="atLeast"/>
            </w:pPr>
            <w:r>
              <w:rPr>
                <w:rFonts w:ascii="Times New Roman"/>
                <w:b/>
                <w:bCs/>
                <w:color w:val="FFFFFF"/>
                <w:sz w:val="80"/>
                <w:szCs w:val="80"/>
              </w:rPr>
              <w:t xml:space="preserve">SwarmFi</w:t>
            </w:r>
          </w:p>
          <w:p>
            <w:pPr>
              <w:spacing w:after="100"/>
            </w:pPr>
            <w:r>
              <w:rPr>
                <w:rFonts w:ascii="Calibri"/>
                <w:color w:val="37DCF2"/>
                <w:sz w:val="32"/>
                <w:szCs w:val="32"/>
              </w:rPr>
              <w:t xml:space="preserve">AI Swarm Intelligence Oracle &amp; Prediction Markets</w:t>
            </w:r>
          </w:p>
          <w:p>
            <w:pPr>
              <w:spacing w:after="100"/>
            </w:pPr>
            <w:r>
              <w:rPr>
                <w:rFonts w:ascii="Calibri"/>
                <w:color w:val="37DCF2"/>
                <w:sz w:val="32"/>
                <w:szCs w:val="32"/>
              </w:rPr>
              <w:t xml:space="preserve">on Solana</w:t>
            </w:r>
          </w:p>
          <w:p>
            <w:pPr>
              <w:spacing w:before="600"/>
            </w:pPr>
          </w:p>
          <w:p>
            <w:pPr>
              <w:spacing w:after="80"/>
            </w:pPr>
            <w:r>
              <w:rPr>
                <w:rFonts w:ascii="Calibri"/>
                <w:color w:val="90989F"/>
                <w:sz w:val="24"/>
                <w:szCs w:val="24"/>
              </w:rPr>
              <w:t xml:space="preserve">Colosseum Frontier Hackathon</w:t>
            </w:r>
          </w:p>
          <w:p>
            <w:pPr>
              <w:spacing w:after="80"/>
            </w:pPr>
            <w:r>
              <w:rPr>
                <w:rFonts w:ascii="Calibri"/>
                <w:color w:val="90989F"/>
                <w:sz w:val="22"/>
                <w:szCs w:val="22"/>
              </w:rPr>
              <w:t xml:space="preserve">Category: Agents + Tokenization</w:t>
            </w:r>
          </w:p>
          <w:p>
            <w:pPr>
              <w:spacing w:after="80"/>
            </w:pPr>
            <w:r>
              <w:rPr>
                <w:rFonts w:ascii="Calibri"/>
                <w:color w:val="90989F"/>
                <w:sz w:val="22"/>
                <w:szCs w:val="22"/>
              </w:rPr>
              <w:t xml:space="preserve">Stack: Anchor 0.30 | Solana | Next.js 15 | Python AI | Arcium</w:t>
            </w:r>
          </w:p>
          <w:p>
            <w:pPr>
              <w:spacing w:before="1200"/>
            </w:pPr>
            <w:r>
              <w:rPr>
                <w:rFonts w:ascii="Calibri"/>
                <w:color w:val="687078"/>
                <w:sz w:val="20"/>
                <w:szCs w:val="20"/>
              </w:rPr>
              <w:t xml:space="preserve">github.com/zan-maker/swarmfi-solana</w:t>
            </w:r>
          </w:p>
        </w:tc>
      </w:tr>
    </w:tbl>
    <w:p>
      <w:pPr>
        <w:sectPr>
          <w:pgSz w:w="11906" w:h="16838" w:orient="portrait"/>
          <w:pgMar w:top="0" w:right="0" w:bottom="0" w:left="0" w:header="708" w:footer="708" w:gutter="0"/>
          <w:pgNumType/>
          <w:docGrid w:linePitch="360"/>
        </w:sectPr>
      </w:pPr>
    </w:p>
    <w:p>
      <w:pPr>
        <w:pStyle w:val="Heading1"/>
        <w:spacing w:after="200" w:before="480"/>
      </w:pPr>
      <w:r>
        <w:rPr>
          <w:rFonts w:ascii="Times New Roman"/>
          <w:b/>
          <w:bCs/>
          <w:color w:val="1A2B40"/>
          <w:sz w:val="32"/>
          <w:szCs w:val="32"/>
        </w:rPr>
        <w:t xml:space="preserve">1. Executive Summary</w:t>
      </w:r>
    </w:p>
    <w:p>
      <w:pPr>
        <w:spacing w:after="120" w:line="312"/>
        <w:jc w:val="both"/>
      </w:pPr>
      <w:r>
        <w:rPr>
          <w:rFonts w:ascii="Calibri"/>
          <w:color w:val="1A2B40"/>
          <w:sz w:val="24"/>
          <w:szCs w:val="24"/>
        </w:rPr>
        <w:t xml:space="preserve">SwarmFi is a decentralized AI swarm intelligence protocol built on Solana that brings nature-inspired coordination mechanisms to on-chain prediction markets, price oracles, and auto-rebalancing vaults. The protocol deploys multiple specialized AI agents that communicate through stigmergic signals, achieve consensus through weighted median aggregation, and maintain economic security through SOL staking and adversarial slashing. Each agent receives a tokenized on-chain identity via SPL Token mints, creating a verifiable reputation system that influences oracle weights and prediction market outcomes.</w:t>
      </w:r>
    </w:p>
    <w:p>
      <w:pPr>
        <w:spacing w:after="120" w:line="312"/>
        <w:jc w:val="both"/>
      </w:pPr>
      <w:r>
        <w:rPr>
          <w:rFonts w:ascii="Calibri"/>
          <w:color w:val="1A2B40"/>
          <w:sz w:val="24"/>
          <w:szCs w:val="24"/>
        </w:rPr>
        <w:t xml:space="preserve">The system consists of four interdependent Anchor programs: SwarmOracle for multi-source decentralized price feeds, PredictionMarket for binary and scalar prediction markets resolved by oracle data, ReputationRegistry for cross-program agent reputation tracking with tiered badges, and VaultManager for auto-rebalancing DeFi vaults driven by swarm risk signals. The frontend is a polished Next.js 15 application with real Phantom wallet integration, Arcium confidential computing for encrypted oracle submissions, and interactive data visualizations.</w:t>
      </w:r>
    </w:p>
    <w:p>
      <w:pPr>
        <w:spacing w:after="120" w:line="312"/>
        <w:jc w:val="both"/>
      </w:pPr>
      <w:r>
        <w:rPr>
          <w:rFonts w:ascii="Calibri"/>
          <w:color w:val="1A2B40"/>
          <w:sz w:val="24"/>
          <w:szCs w:val="24"/>
        </w:rPr>
        <w:t xml:space="preserve">What makes SwarmFi unique is its application of swarm intelligence principles, specifically stigmergy, to blockchain-based financial infrastructure. Rather than relying on a single oracle or centralized data source, SwarmFi coordinates a network of AI agents that independently analyze market data from 23+ sources and arrive at consensus through indirect communication. This creates a more resilient, accurate, and censorship-resistant oracle system that is particularly well-suited for the high-throughput, low-latency demands of modern DeFi applications on Solana.</w:t>
      </w:r>
    </w:p>
    <w:p>
      <w:pPr>
        <w:pStyle w:val="Heading1"/>
        <w:spacing w:after="200" w:before="480"/>
      </w:pPr>
      <w:r>
        <w:rPr>
          <w:rFonts w:ascii="Times New Roman"/>
          <w:b/>
          <w:bCs/>
          <w:color w:val="1A2B40"/>
          <w:sz w:val="32"/>
          <w:szCs w:val="32"/>
        </w:rPr>
        <w:t xml:space="preserve">2. Problem Statement</w:t>
      </w:r>
    </w:p>
    <w:p>
      <w:pPr>
        <w:spacing w:after="120" w:line="312"/>
        <w:jc w:val="both"/>
      </w:pPr>
      <w:r>
        <w:rPr>
          <w:rFonts w:ascii="Calibri"/>
          <w:color w:val="1A2B40"/>
          <w:sz w:val="24"/>
          <w:szCs w:val="24"/>
        </w:rPr>
        <w:t xml:space="preserve">Decentralized finance on Solana faces several critical challenges that SwarmFi addresses simultaneously. First, existing oracle solutions rely on centralized data sources or limited validator sets, creating single points of failure and making them vulnerable to manipulation and censorship. When a single price feed goes offline or is compromised, every protocol that depends on it is at risk, from lending platforms to synthetic asset issuers.</w:t>
      </w:r>
    </w:p>
    <w:p>
      <w:pPr>
        <w:spacing w:after="120" w:line="312"/>
        <w:jc w:val="both"/>
      </w:pPr>
      <w:r>
        <w:rPr>
          <w:rFonts w:ascii="Calibri"/>
          <w:color w:val="1A2B40"/>
          <w:sz w:val="24"/>
          <w:szCs w:val="24"/>
        </w:rPr>
        <w:t xml:space="preserve">Second, prediction markets on Solana remain underdeveloped compared to Ethereum-based alternatives like Polymarket. Existing solutions lack the oracle infrastructure, liquidity mechanisms, and resolution frameworks needed to attract significant user participation. The absence of robust prediction markets deprives the Solana ecosystem of a powerful tool for price discovery, hedging, and information aggregation.</w:t>
      </w:r>
    </w:p>
    <w:p>
      <w:pPr>
        <w:spacing w:after="120" w:line="312"/>
        <w:jc w:val="both"/>
      </w:pPr>
      <w:r>
        <w:rPr>
          <w:rFonts w:ascii="Calibri"/>
          <w:color w:val="1A2B40"/>
          <w:sz w:val="24"/>
          <w:szCs w:val="24"/>
        </w:rPr>
        <w:t xml:space="preserve">Third, the emerging field of on-chain AI agents lacks a standardized identity and reputation framework. As AI agents become more prevalent in DeFi, there is a growing need for verifiable, on-chain credentials that allow agents to prove their track record, stake economic value behind their predictions, and be held accountable for malicious behavior. Without this infrastructure, it is impossible to distinguish between reliable AI agents and bad actors.</w:t>
      </w:r>
    </w:p>
    <w:p>
      <w:pPr>
        <w:spacing w:after="120" w:line="312"/>
        <w:jc w:val="both"/>
      </w:pPr>
      <w:r>
        <w:rPr>
          <w:rFonts w:ascii="Calibri"/>
          <w:color w:val="1A2B40"/>
          <w:sz w:val="24"/>
          <w:szCs w:val="24"/>
        </w:rPr>
        <w:t xml:space="preserve">Finally, oracle data submissions are inherently public on-chain, creating front-running opportunities and competitive disadvantages for agents whose strategies depend on price data that should remain private until consensus is reached. This transparency paradox means that the most sophisticated agents may be disincentivized from participating in oracle networks.</w:t>
      </w:r>
    </w:p>
    <w:p>
      <w:pPr>
        <w:pStyle w:val="Heading1"/>
        <w:spacing w:after="200" w:before="480"/>
      </w:pPr>
      <w:r>
        <w:rPr>
          <w:rFonts w:ascii="Times New Roman"/>
          <w:b/>
          <w:bCs/>
          <w:color w:val="1A2B40"/>
          <w:sz w:val="32"/>
          <w:szCs w:val="32"/>
        </w:rPr>
        <w:t xml:space="preserve">3. Solution Overview</w:t>
      </w:r>
    </w:p>
    <w:p>
      <w:pPr>
        <w:spacing w:after="120" w:line="312"/>
        <w:jc w:val="both"/>
      </w:pPr>
      <w:r>
        <w:rPr>
          <w:rFonts w:ascii="Calibri"/>
          <w:color w:val="1A2B40"/>
          <w:sz w:val="24"/>
          <w:szCs w:val="24"/>
        </w:rPr>
        <w:t xml:space="preserve">SwarmFi addresses these challenges through a unified protocol that combines four core pillars: decentralized oracle feeds powered by AI swarm consensus, prediction markets resolved by on-chain oracle data, auto-rebalancing vaults managed by swarm intelligence, and a cross-program reputation system with tokenized agent identities.</w:t>
      </w:r>
    </w:p>
    <w:p>
      <w:pPr>
        <w:pStyle w:val="Heading2"/>
        <w:spacing w:after="200" w:before="360"/>
      </w:pPr>
      <w:r>
        <w:rPr>
          <w:rFonts w:ascii="Times New Roman"/>
          <w:b/>
          <w:bCs/>
          <w:color w:val="1A2B40"/>
          <w:sz w:val="28"/>
          <w:szCs w:val="28"/>
        </w:rPr>
        <w:t xml:space="preserve">3.1 Swarm Intelligence Architecture</w:t>
      </w:r>
    </w:p>
    <w:p>
      <w:pPr>
        <w:spacing w:after="120" w:line="312"/>
        <w:jc w:val="both"/>
      </w:pPr>
      <w:r>
        <w:rPr>
          <w:rFonts w:ascii="Calibri"/>
          <w:color w:val="1A2B40"/>
          <w:sz w:val="24"/>
          <w:szCs w:val="24"/>
        </w:rPr>
        <w:t xml:space="preserve">The protocol draws inspiration from natural swarm systems, specifically the stigmergy mechanism observed in ant colonies and bee swarms. In nature, individual insects do not communicate directly; instead, they modify their shared environment (depositing pheromones) and observe the changes made by others. This indirect coordination enables complex collective behavior without any central controller. SwarmFi implements this principle on-chain through Stigmergy Signal accounts, where agents deposit time-decaying signals that other agents can observe and react to. This creates a self-organizing system where agents adjust their behavior based on the aggregate signals without needing to know the identity or intentions of other participants.</w:t>
      </w:r>
    </w:p>
    <w:p>
      <w:pPr>
        <w:pStyle w:val="Heading2"/>
        <w:spacing w:after="200" w:before="360"/>
      </w:pPr>
      <w:r>
        <w:rPr>
          <w:rFonts w:ascii="Times New Roman"/>
          <w:b/>
          <w:bCs/>
          <w:color w:val="1A2B40"/>
          <w:sz w:val="28"/>
          <w:szCs w:val="28"/>
        </w:rPr>
        <w:t xml:space="preserve">3.2 Four Anchor Programs</w:t>
      </w:r>
    </w:p>
    <w:p>
      <w:pPr>
        <w:spacing w:after="120" w:line="312"/>
        <w:jc w:val="both"/>
      </w:pPr>
      <w:r>
        <w:rPr>
          <w:rFonts w:ascii="Calibri"/>
          <w:color w:val="1A2B40"/>
          <w:sz w:val="24"/>
          <w:szCs w:val="24"/>
        </w:rPr>
        <w:t xml:space="preserve">The SwarmFi protocol is implemented as four interdependent Anchor programs that share state through cross-program invocations (CPI). Each program serves a distinct function while contributing to the overall swarm intelligence loop.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c>
          <w:tcPr>
            <w:shd w:fill="1B6B7A" w:val="clear"/>
            <w:tcMar>
              <w:top w:type="dxa" w:w="60"/>
              <w:left w:type="dxa" w:w="120"/>
              <w:bottom w:type="dxa" w:w="60"/>
              <w:right w:type="dxa" w:w="120"/>
            </w:tcMar>
          </w:tcPr>
          <w:p>
            <w:pPr>
              <w:jc w:val="center"/>
            </w:pPr>
            <w:r>
              <w:rPr>
                <w:rFonts w:ascii="Calibri"/>
                <w:b/>
                <w:bCs/>
                <w:color w:val="FFFFFF"/>
                <w:sz w:val="21"/>
                <w:szCs w:val="21"/>
              </w:rPr>
              <w:t xml:space="preserve">Program</w:t>
            </w:r>
          </w:p>
        </w:tc>
        <w:tc>
          <w:tcPr>
            <w:shd w:fill="1B6B7A" w:val="clear"/>
            <w:tcMar>
              <w:top w:type="dxa" w:w="60"/>
              <w:left w:type="dxa" w:w="120"/>
              <w:bottom w:type="dxa" w:w="60"/>
              <w:right w:type="dxa" w:w="120"/>
            </w:tcMar>
          </w:tcPr>
          <w:p>
            <w:pPr>
              <w:jc w:val="center"/>
            </w:pPr>
            <w:r>
              <w:rPr>
                <w:rFonts w:ascii="Calibri"/>
                <w:b/>
                <w:bCs/>
                <w:color w:val="FFFFFF"/>
                <w:sz w:val="21"/>
                <w:szCs w:val="21"/>
              </w:rPr>
              <w:t xml:space="preserve">Program ID</w:t>
            </w:r>
          </w:p>
        </w:tc>
        <w:tc>
          <w:tcPr>
            <w:shd w:fill="1B6B7A" w:val="clear"/>
            <w:tcMar>
              <w:top w:type="dxa" w:w="60"/>
              <w:left w:type="dxa" w:w="120"/>
              <w:bottom w:type="dxa" w:w="60"/>
              <w:right w:type="dxa" w:w="120"/>
            </w:tcMar>
          </w:tcPr>
          <w:p>
            <w:pPr>
              <w:jc w:val="center"/>
            </w:pPr>
            <w:r>
              <w:rPr>
                <w:rFonts w:ascii="Calibri"/>
                <w:b/>
                <w:bCs/>
                <w:color w:val="FFFFFF"/>
                <w:sz w:val="21"/>
                <w:szCs w:val="21"/>
              </w:rPr>
              <w:t xml:space="preserve">Primary Function</w:t>
            </w:r>
          </w:p>
        </w:tc>
      </w:tr>
      <w:tr>
        <w:tc>
          <w:tcPr>
            <w:shd w:fill="F4F8FC" w:val="clear"/>
            <w:tcMar>
              <w:top w:type="dxa" w:w="60"/>
              <w:left w:type="dxa" w:w="120"/>
              <w:bottom w:type="dxa" w:w="60"/>
              <w:right w:type="dxa" w:w="120"/>
            </w:tcMar>
          </w:tcPr>
          <w:p>
            <w:pPr>
              <w:jc w:val="left"/>
            </w:pPr>
            <w:r>
              <w:rPr>
                <w:rFonts w:ascii="Calibri"/>
                <w:color w:val="1A2B40"/>
                <w:sz w:val="21"/>
                <w:szCs w:val="21"/>
              </w:rPr>
              <w:t xml:space="preserve">swarm-oracle</w:t>
            </w:r>
          </w:p>
        </w:tc>
        <w:tc>
          <w:tcPr>
            <w:shd w:fill="F4F8FC" w:val="clear"/>
            <w:tcMar>
              <w:top w:type="dxa" w:w="60"/>
              <w:left w:type="dxa" w:w="120"/>
              <w:bottom w:type="dxa" w:w="60"/>
              <w:right w:type="dxa" w:w="120"/>
            </w:tcMar>
          </w:tcPr>
          <w:p>
            <w:pPr>
              <w:jc w:val="left"/>
            </w:pPr>
            <w:r>
              <w:rPr>
                <w:rFonts w:ascii="Calibri"/>
                <w:color w:val="1A2B40"/>
                <w:sz w:val="21"/>
                <w:szCs w:val="21"/>
              </w:rPr>
              <w:t xml:space="preserve">FsWBMoA5x5bSaZGJGYeCsSWaaBGJ4eCqGMPbQnMBnKNp</w:t>
            </w:r>
          </w:p>
        </w:tc>
        <w:tc>
          <w:tcPr>
            <w:shd w:fill="F4F8FC" w:val="clear"/>
            <w:tcMar>
              <w:top w:type="dxa" w:w="60"/>
              <w:left w:type="dxa" w:w="120"/>
              <w:bottom w:type="dxa" w:w="60"/>
              <w:right w:type="dxa" w:w="120"/>
            </w:tcMar>
          </w:tcPr>
          <w:p>
            <w:pPr>
              <w:jc w:val="left"/>
            </w:pPr>
            <w:r>
              <w:rPr>
                <w:rFonts w:ascii="Calibri"/>
                <w:color w:val="1A2B40"/>
                <w:sz w:val="21"/>
                <w:szCs w:val="21"/>
              </w:rPr>
              <w:t xml:space="preserve">Multi-source price oracle with weighted consensus</w:t>
            </w:r>
          </w:p>
        </w:tc>
      </w:tr>
      <w:tr>
        <w:tc>
          <w:tcPr>
            <w:shd w:fill="FFFFFF" w:val="clear"/>
            <w:tcMar>
              <w:top w:type="dxa" w:w="60"/>
              <w:left w:type="dxa" w:w="120"/>
              <w:bottom w:type="dxa" w:w="60"/>
              <w:right w:type="dxa" w:w="120"/>
            </w:tcMar>
          </w:tcPr>
          <w:p>
            <w:pPr>
              <w:jc w:val="left"/>
            </w:pPr>
            <w:r>
              <w:rPr>
                <w:rFonts w:ascii="Calibri"/>
                <w:color w:val="1A2B40"/>
                <w:sz w:val="21"/>
                <w:szCs w:val="21"/>
              </w:rPr>
              <w:t xml:space="preserve">prediction-market</w:t>
            </w:r>
          </w:p>
        </w:tc>
        <w:tc>
          <w:tcPr>
            <w:shd w:fill="FFFFFF" w:val="clear"/>
            <w:tcMar>
              <w:top w:type="dxa" w:w="60"/>
              <w:left w:type="dxa" w:w="120"/>
              <w:bottom w:type="dxa" w:w="60"/>
              <w:right w:type="dxa" w:w="120"/>
            </w:tcMar>
          </w:tcPr>
          <w:p>
            <w:pPr>
              <w:jc w:val="left"/>
            </w:pPr>
            <w:r>
              <w:rPr>
                <w:rFonts w:ascii="Calibri"/>
                <w:color w:val="1A2B40"/>
                <w:sz w:val="21"/>
                <w:szCs w:val="21"/>
              </w:rPr>
              <w:t xml:space="preserve">PMkt1SxPMKp3f5xLKNJghKBBm9JvHZQCEMJKWGPn7x4D</w:t>
            </w:r>
          </w:p>
        </w:tc>
        <w:tc>
          <w:tcPr>
            <w:shd w:fill="FFFFFF" w:val="clear"/>
            <w:tcMar>
              <w:top w:type="dxa" w:w="60"/>
              <w:left w:type="dxa" w:w="120"/>
              <w:bottom w:type="dxa" w:w="60"/>
              <w:right w:type="dxa" w:w="120"/>
            </w:tcMar>
          </w:tcPr>
          <w:p>
            <w:pPr>
              <w:jc w:val="left"/>
            </w:pPr>
            <w:r>
              <w:rPr>
                <w:rFonts w:ascii="Calibri"/>
                <w:color w:val="1A2B40"/>
                <w:sz w:val="21"/>
                <w:szCs w:val="21"/>
              </w:rPr>
              <w:t xml:space="preserve">Binary &amp; scalar prediction markets</w:t>
            </w:r>
          </w:p>
        </w:tc>
      </w:tr>
      <w:tr>
        <w:tc>
          <w:tcPr>
            <w:shd w:fill="F4F8FC" w:val="clear"/>
            <w:tcMar>
              <w:top w:type="dxa" w:w="60"/>
              <w:left w:type="dxa" w:w="120"/>
              <w:bottom w:type="dxa" w:w="60"/>
              <w:right w:type="dxa" w:w="120"/>
            </w:tcMar>
          </w:tcPr>
          <w:p>
            <w:pPr>
              <w:jc w:val="left"/>
            </w:pPr>
            <w:r>
              <w:rPr>
                <w:rFonts w:ascii="Calibri"/>
                <w:color w:val="1A2B40"/>
                <w:sz w:val="21"/>
                <w:szCs w:val="21"/>
              </w:rPr>
              <w:t xml:space="preserve">reputation-registry</w:t>
            </w:r>
          </w:p>
        </w:tc>
        <w:tc>
          <w:tcPr>
            <w:shd w:fill="F4F8FC" w:val="clear"/>
            <w:tcMar>
              <w:top w:type="dxa" w:w="60"/>
              <w:left w:type="dxa" w:w="120"/>
              <w:bottom w:type="dxa" w:w="60"/>
              <w:right w:type="dxa" w:w="120"/>
            </w:tcMar>
          </w:tcPr>
          <w:p>
            <w:pPr>
              <w:jc w:val="left"/>
            </w:pPr>
            <w:r>
              <w:rPr>
                <w:rFonts w:ascii="Calibri"/>
                <w:color w:val="1A2B40"/>
                <w:sz w:val="21"/>
                <w:szCs w:val="21"/>
              </w:rPr>
              <w:t xml:space="preserve">RepRGhYwcxEhMaSnZ3dKLCg3xNPEBcbNBjGEoTBDFZv</w:t>
            </w:r>
          </w:p>
        </w:tc>
        <w:tc>
          <w:tcPr>
            <w:shd w:fill="F4F8FC" w:val="clear"/>
            <w:tcMar>
              <w:top w:type="dxa" w:w="60"/>
              <w:left w:type="dxa" w:w="120"/>
              <w:bottom w:type="dxa" w:w="60"/>
              <w:right w:type="dxa" w:w="120"/>
            </w:tcMar>
          </w:tcPr>
          <w:p>
            <w:pPr>
              <w:jc w:val="left"/>
            </w:pPr>
            <w:r>
              <w:rPr>
                <w:rFonts w:ascii="Calibri"/>
                <w:color w:val="1A2B40"/>
                <w:sz w:val="21"/>
                <w:szCs w:val="21"/>
              </w:rPr>
              <w:t xml:space="preserve">Agent reputation tracking &amp; tiered badges</w:t>
            </w:r>
          </w:p>
        </w:tc>
      </w:tr>
      <w:tr>
        <w:tc>
          <w:tcPr>
            <w:shd w:fill="FFFFFF" w:val="clear"/>
            <w:tcMar>
              <w:top w:type="dxa" w:w="60"/>
              <w:left w:type="dxa" w:w="120"/>
              <w:bottom w:type="dxa" w:w="60"/>
              <w:right w:type="dxa" w:w="120"/>
            </w:tcMar>
          </w:tcPr>
          <w:p>
            <w:pPr>
              <w:jc w:val="left"/>
            </w:pPr>
            <w:r>
              <w:rPr>
                <w:rFonts w:ascii="Calibri"/>
                <w:color w:val="1A2B40"/>
                <w:sz w:val="21"/>
                <w:szCs w:val="21"/>
              </w:rPr>
              <w:t xml:space="preserve">vault-manager</w:t>
            </w:r>
          </w:p>
        </w:tc>
        <w:tc>
          <w:tcPr>
            <w:shd w:fill="FFFFFF" w:val="clear"/>
            <w:tcMar>
              <w:top w:type="dxa" w:w="60"/>
              <w:left w:type="dxa" w:w="120"/>
              <w:bottom w:type="dxa" w:w="60"/>
              <w:right w:type="dxa" w:w="120"/>
            </w:tcMar>
          </w:tcPr>
          <w:p>
            <w:pPr>
              <w:jc w:val="left"/>
            </w:pPr>
            <w:r>
              <w:rPr>
                <w:rFonts w:ascii="Calibri"/>
                <w:color w:val="1A2B40"/>
                <w:sz w:val="21"/>
                <w:szCs w:val="21"/>
              </w:rPr>
              <w:t xml:space="preserve">VltMgcHHAfKXkRBRyfzXhCZrN3NaE8kTGYhfPaCmjPQy</w:t>
            </w:r>
          </w:p>
        </w:tc>
        <w:tc>
          <w:tcPr>
            <w:shd w:fill="FFFFFF" w:val="clear"/>
            <w:tcMar>
              <w:top w:type="dxa" w:w="60"/>
              <w:left w:type="dxa" w:w="120"/>
              <w:bottom w:type="dxa" w:w="60"/>
              <w:right w:type="dxa" w:w="120"/>
            </w:tcMar>
          </w:tcPr>
          <w:p>
            <w:pPr>
              <w:jc w:val="left"/>
            </w:pPr>
            <w:r>
              <w:rPr>
                <w:rFonts w:ascii="Calibri"/>
                <w:color w:val="1A2B40"/>
                <w:sz w:val="21"/>
                <w:szCs w:val="21"/>
              </w:rPr>
              <w:t xml:space="preserve">Auto-rebalancing vault management</w:t>
            </w:r>
          </w:p>
        </w:tc>
      </w:tr>
    </w:tbl>
    <w:p>
      <w:pPr>
        <w:spacing w:after="120" w:line="312"/>
        <w:jc w:val="both"/>
      </w:pPr>
      <w:r>
        <w:rPr>
          <w:rFonts w:ascii="Calibri"/>
          <w:color w:val="1A2B40"/>
          <w:sz w:val="24"/>
          <w:szCs w:val="24"/>
        </w:rPr>
        <w:t xml:space="preserve"/>
      </w:r>
    </w:p>
    <w:p>
      <w:pPr>
        <w:pStyle w:val="Heading1"/>
        <w:spacing w:after="200" w:before="480"/>
      </w:pPr>
      <w:r>
        <w:rPr>
          <w:rFonts w:ascii="Times New Roman"/>
          <w:b/>
          <w:bCs/>
          <w:color w:val="1A2B40"/>
          <w:sz w:val="32"/>
          <w:szCs w:val="32"/>
        </w:rPr>
        <w:t xml:space="preserve">4. Technical Deep Dive</w:t>
      </w:r>
    </w:p>
    <w:p>
      <w:pPr>
        <w:pStyle w:val="Heading2"/>
        <w:spacing w:after="200" w:before="360"/>
      </w:pPr>
      <w:r>
        <w:rPr>
          <w:rFonts w:ascii="Times New Roman"/>
          <w:b/>
          <w:bCs/>
          <w:color w:val="1A2B40"/>
          <w:sz w:val="28"/>
          <w:szCs w:val="28"/>
        </w:rPr>
        <w:t xml:space="preserve">4.1 Swarm Oracle Program</w:t>
      </w:r>
    </w:p>
    <w:p>
      <w:pPr>
        <w:spacing w:after="120" w:line="312"/>
        <w:jc w:val="both"/>
      </w:pPr>
      <w:r>
        <w:rPr>
          <w:rFonts w:ascii="Calibri"/>
          <w:color w:val="1A2B40"/>
          <w:sz w:val="24"/>
          <w:szCs w:val="24"/>
        </w:rPr>
        <w:t xml:space="preserve">The SwarmOracle program is the heart of the protocol. It manages the registration of AI agents, the submission and aggregation of price feeds, the execution of consensus rounds, and the depositing of stigmergy coordination signals. Agents register with a SOL stake and receive an SPL Token mint as their on-chain identity. This identity token is non-transferable and permanently linked to the agent, creating an immutable record of their actions and performance on-chain.</w:t>
      </w:r>
    </w:p>
    <w:p>
      <w:pPr>
        <w:spacing w:after="120" w:line="312"/>
        <w:jc w:val="both"/>
      </w:pPr>
      <w:r>
        <w:rPr>
          <w:rFonts w:ascii="Calibri"/>
          <w:color w:val="1A2B40"/>
          <w:sz w:val="24"/>
          <w:szCs w:val="24"/>
        </w:rPr>
        <w:t xml:space="preserve">Price submissions are weighted by a composite score of the agent's reputation score (0-1000) multiplied by their staked SOL amount. This ensures that agents with a proven track record and greater economic stake have proportionally more influence on the final oracle price, while still allowing new agents to participate and build reputation over time. The consensus mechanism uses a weighted median algorithm, which is robust against outliers and manipulation attempts, as an attacker would need to control more than 50% of the total weighted submissions to influence the result.</w:t>
      </w:r>
    </w:p>
    <w:p>
      <w:pPr>
        <w:spacing w:after="120" w:line="312"/>
        <w:jc w:val="both"/>
      </w:pPr>
      <w:r>
        <w:rPr>
          <w:rFonts w:ascii="Calibri"/>
          <w:color w:val="1A2B40"/>
          <w:sz w:val="24"/>
          <w:szCs w:val="24"/>
        </w:rPr>
        <w:t xml:space="preserve">The program supports both plaintext and Arcium-encrypted price submissions. For standard submissions, agents submit price data directly on-chain. For privacy-preserving submissions, agents encrypt their price data using AES-GCM with ECDH key exchange before submission. The on-chain program stores the encrypted ciphertext, initialization vector, ephemeral public key, and a SHA-256 hash of the original data. This allows consensus participants to decrypt and verify the data off-chain without exposing raw prices to front-runners or competitors.</w:t>
      </w:r>
    </w:p>
    <w:p>
      <w:pPr>
        <w:pStyle w:val="Heading2"/>
        <w:spacing w:after="200" w:before="360"/>
      </w:pPr>
      <w:r>
        <w:rPr>
          <w:rFonts w:ascii="Times New Roman"/>
          <w:b/>
          <w:bCs/>
          <w:color w:val="1A2B40"/>
          <w:sz w:val="28"/>
          <w:szCs w:val="28"/>
        </w:rPr>
        <w:t xml:space="preserve">4.2 Stigmergy Coordination</w:t>
      </w:r>
    </w:p>
    <w:p>
      <w:pPr>
        <w:spacing w:after="120" w:line="312"/>
        <w:jc w:val="both"/>
      </w:pPr>
      <w:r>
        <w:rPr>
          <w:rFonts w:ascii="Calibri"/>
          <w:color w:val="1A2B40"/>
          <w:sz w:val="24"/>
          <w:szCs w:val="24"/>
        </w:rPr>
        <w:t xml:space="preserve">Stigmergy signals are on-chain accounts that agents create to communicate indirectly with other members of the swarm. Each signal has a type (PriceUpdate, RiskAlert, ConsensusReached, RebalanceRequest, MarketEvent, Heartbeat, AnomalyDetected), a strength value that decays over time, and a data hash for verification. The decay mechanism ensures that stale information does not influence agent behavior indefinitely. Agents observe the aggregate signal landscape and adjust their own submissions, risk assessments, and trading strategies accordingly.</w:t>
      </w:r>
    </w:p>
    <w:p>
      <w:pPr>
        <w:spacing w:after="120" w:line="312"/>
        <w:jc w:val="both"/>
      </w:pPr>
      <w:r>
        <w:rPr>
          <w:rFonts w:ascii="Calibri"/>
          <w:color w:val="1A2B40"/>
          <w:sz w:val="24"/>
          <w:szCs w:val="24"/>
        </w:rPr>
        <w:t xml:space="preserve">This coordination mechanism creates emergent collective intelligence. For example, when multiple agents independently detect unusual volatility in a market, they each deposit RiskAlert signals. Other agents observe the elevated signal strength and adjust their confidence levels downward or reduce their position sizes. No direct communication is needed; the shared on-chain environment serves as the coordination medium. This is computationally efficient and naturally scalable, as the coordination cost grows linearly with the number of signals rather than quadratically with the number of agent-to-agent communication channels.</w:t>
      </w:r>
    </w:p>
    <w:p>
      <w:pPr>
        <w:pStyle w:val="Heading2"/>
        <w:spacing w:after="200" w:before="360"/>
      </w:pPr>
      <w:r>
        <w:rPr>
          <w:rFonts w:ascii="Times New Roman"/>
          <w:b/>
          <w:bCs/>
          <w:color w:val="1A2B40"/>
          <w:sz w:val="28"/>
          <w:szCs w:val="28"/>
        </w:rPr>
        <w:t xml:space="preserve">4.3 Prediction Market Program</w:t>
      </w:r>
    </w:p>
    <w:p>
      <w:pPr>
        <w:spacing w:after="120" w:line="312"/>
        <w:jc w:val="both"/>
      </w:pPr>
      <w:r>
        <w:rPr>
          <w:rFonts w:ascii="Calibri"/>
          <w:color w:val="1A2B40"/>
          <w:sz w:val="24"/>
          <w:szCs w:val="24"/>
        </w:rPr>
        <w:t xml:space="preserve">The PredictionMarket program enables the creation and resolution of binary and scalar prediction markets on Solana. Market creators define a question, possible outcomes, and a deadline. Participants stake SOL on their predicted outcome using an automated bonding curve pricing mechanism that adjusts prices based on the relative amount staked on each outcome. When the market resolves, the SwarmOracle provides the authoritative price data, and the correct outcome receives a proportional share of the total pool.</w:t>
      </w:r>
    </w:p>
    <w:p>
      <w:pPr>
        <w:spacing w:after="120" w:line="312"/>
        <w:jc w:val="both"/>
      </w:pPr>
      <w:r>
        <w:rPr>
          <w:rFonts w:ascii="Calibri"/>
          <w:color w:val="1A2B40"/>
          <w:sz w:val="24"/>
          <w:szCs w:val="24"/>
        </w:rPr>
        <w:t xml:space="preserve">The integration with the reputation system means that agents with higher reputation tiers can influence market resolution outcomes with greater weight. Additionally, the staking mechanism creates economic alignment between prediction accuracy and financial incentive. Agents that consistently make accurate predictions earn reputation, which increases their oracle weight and allows them to earn more from prediction market winnings. Conversely, agents that perform poorly lose reputation and have their oracle weight reduced, creating a self-reinforcing quality cycle.</w:t>
      </w:r>
    </w:p>
    <w:p>
      <w:pPr>
        <w:pStyle w:val="Heading2"/>
        <w:spacing w:after="200" w:before="360"/>
      </w:pPr>
      <w:r>
        <w:rPr>
          <w:rFonts w:ascii="Times New Roman"/>
          <w:b/>
          <w:bCs/>
          <w:color w:val="1A2B40"/>
          <w:sz w:val="28"/>
          <w:szCs w:val="28"/>
        </w:rPr>
        <w:t xml:space="preserve">4.4 Vault Manager Program</w:t>
      </w:r>
    </w:p>
    <w:p>
      <w:pPr>
        <w:spacing w:after="120" w:line="312"/>
        <w:jc w:val="both"/>
      </w:pPr>
      <w:r>
        <w:rPr>
          <w:rFonts w:ascii="Calibri"/>
          <w:color w:val="1A2B40"/>
          <w:sz w:val="24"/>
          <w:szCs w:val="24"/>
        </w:rPr>
        <w:t xml:space="preserve">The VaultManager program implements auto-rebalancing vaults that are driven by swarm risk signals. Vault strategies are classified as Conservative, Balanced, or Aggressive, each with different target asset allocations and risk parameters. When the swarm detects changing market conditions through stigmergy signals, authorized agents can trigger a rebalance instruction that adjusts the vault's asset allocation.</w:t>
      </w:r>
    </w:p>
    <w:p>
      <w:pPr>
        <w:spacing w:after="120" w:line="312"/>
        <w:jc w:val="both"/>
      </w:pPr>
      <w:r>
        <w:rPr>
          <w:rFonts w:ascii="Calibri"/>
          <w:color w:val="1A2B40"/>
          <w:sz w:val="24"/>
          <w:szCs w:val="24"/>
        </w:rPr>
        <w:t xml:space="preserve">The program uses share-based accounting, where each depositor receives vault shares proportional to their deposit. When a rebalance occurs, the total value of vault assets may change, but each depositor's proportional ownership remains the same. Withdrawals are processed by burning vault shares and returning the proportional SOL amount. This architecture ensures fair treatment of all depositors regardless of when they enter or exit the vault.</w:t>
      </w:r>
    </w:p>
    <w:p>
      <w:pPr>
        <w:pStyle w:val="Heading2"/>
        <w:spacing w:after="200" w:before="360"/>
      </w:pPr>
      <w:r>
        <w:rPr>
          <w:rFonts w:ascii="Times New Roman"/>
          <w:b/>
          <w:bCs/>
          <w:color w:val="1A2B40"/>
          <w:sz w:val="28"/>
          <w:szCs w:val="28"/>
        </w:rPr>
        <w:t xml:space="preserve">4.5 Reputation Registry</w:t>
      </w:r>
    </w:p>
    <w:p>
      <w:pPr>
        <w:spacing w:after="120" w:line="312"/>
        <w:jc w:val="both"/>
      </w:pPr>
      <w:r>
        <w:rPr>
          <w:rFonts w:ascii="Calibri"/>
          <w:color w:val="1A2B40"/>
          <w:sz w:val="24"/>
          <w:szCs w:val="24"/>
        </w:rPr>
        <w:t xml:space="preserve">The ReputationRegistry program tracks agent performance across oracle rounds and prediction market outcomes. Reputation scores are updated based on accuracy metrics, with tier thresholds at Bronze (1x multiplier), Silver (1.5x), Gold (2x), and Platinum (3x). These multipliers affect oracle weight in consensus rounds and influence in prediction market resolution. The cross-program architecture allows the oracle and market programs to emit reputation events that the registry consumes, creating a unified reputation graph for each agent.</w:t>
      </w:r>
    </w:p>
    <w:p>
      <w:pPr>
        <w:pStyle w:val="Heading1"/>
        <w:spacing w:after="200" w:before="480"/>
      </w:pPr>
      <w:r>
        <w:rPr>
          <w:rFonts w:ascii="Times New Roman"/>
          <w:b/>
          <w:bCs/>
          <w:color w:val="1A2B40"/>
          <w:sz w:val="32"/>
          <w:szCs w:val="32"/>
        </w:rPr>
        <w:t xml:space="preserve">5. Arcium Confidential Computing Integration</w:t>
      </w:r>
    </w:p>
    <w:p>
      <w:pPr>
        <w:spacing w:after="120" w:line="312"/>
        <w:jc w:val="both"/>
      </w:pPr>
      <w:r>
        <w:rPr>
          <w:rFonts w:ascii="Calibri"/>
          <w:color w:val="1A2B40"/>
          <w:sz w:val="24"/>
          <w:szCs w:val="24"/>
        </w:rPr>
        <w:t xml:space="preserve">One of SwarmFi's most innovative features is its integration with Arcium's confidential computing infrastructure for privacy-preserving oracle submissions. This addresses a fundamental challenge in decentralized oracle design: the need for transparency in consensus verification versus the need for privacy in individual agent submissions. When agents submit price data to a public blockchain, that data is immediately visible to everyone, including potential front-runners and competitors.</w:t>
      </w:r>
    </w:p>
    <w:p>
      <w:pPr>
        <w:spacing w:after="120" w:line="312"/>
        <w:jc w:val="both"/>
      </w:pPr>
      <w:r>
        <w:rPr>
          <w:rFonts w:ascii="Calibri"/>
          <w:color w:val="1A2B40"/>
          <w:sz w:val="24"/>
          <w:szCs w:val="24"/>
        </w:rPr>
        <w:t xml:space="preserve">The Arcium integration works through a multi-layer encryption architecture. On the client side, the frontend uses the Web Crypto API to perform AES-GCM encryption with ECDH key exchange. When an agent wants to submit a price privately, it generates an ephemeral ECDH key pair, derives a shared AES-256-GCM key using the oracle's public key, encrypts the price data, and submits the ciphertext along with the ephemeral public key and a SHA-256 hash of the original data to the swarm-oracle program via the submit_encrypted_price instruction.</w:t>
      </w:r>
    </w:p>
    <w:p>
      <w:pPr>
        <w:spacing w:after="120" w:line="312"/>
        <w:jc w:val="both"/>
      </w:pPr>
      <w:r>
        <w:rPr>
          <w:rFonts w:ascii="Calibri"/>
          <w:color w:val="1A2B40"/>
          <w:sz w:val="24"/>
          <w:szCs w:val="24"/>
        </w:rPr>
        <w:t xml:space="preserve">On-chain, the program validates the encryption parameters (ciphertext length, IV length, public key format), stores the encrypted feed in a dedicated EncryptedPriceFeed account, and marks it with the agent's consensus weight. The raw price data is never stored or exposed on-chain. During consensus, authorized participants with the corresponding private key can decrypt the submissions off-chain, verify the data hashes, and compute the weighted median. This architecture enables Arcium's Multi-Party Computation (MPC) network to potentially perform consensus computation on encrypted data without ever decrypting it, providing the highest level of price data privacy available on Solana.</w:t>
      </w:r>
    </w:p>
    <w:p>
      <w:pPr>
        <w:pStyle w:val="Heading1"/>
        <w:spacing w:after="200" w:before="480"/>
      </w:pPr>
      <w:r>
        <w:rPr>
          <w:rFonts w:ascii="Times New Roman"/>
          <w:b/>
          <w:bCs/>
          <w:color w:val="1A2B40"/>
          <w:sz w:val="32"/>
          <w:szCs w:val="32"/>
        </w:rPr>
        <w:t xml:space="preserve">6. Phantom Wallet Integration</w:t>
      </w:r>
    </w:p>
    <w:p>
      <w:pPr>
        <w:spacing w:after="120" w:line="312"/>
        <w:jc w:val="both"/>
      </w:pPr>
      <w:r>
        <w:rPr>
          <w:rFonts w:ascii="Calibri"/>
          <w:color w:val="1A2B40"/>
          <w:sz w:val="24"/>
          <w:szCs w:val="24"/>
        </w:rPr>
        <w:t xml:space="preserve">The SwarmFi frontend features deep Phantom wallet integration through the official Solana wallet adapter libraries. The integration goes beyond a simple connect/disconnect button to provide a comprehensive wallet-aware experience across every page and interaction in the application. The architecture uses a layered provider system: the Solana WalletAdapter's ConnectionProvider establishes the RPC connection, the WalletProvider manages the wallet state and auto-reconnection, and a custom SwarmWalletProvider wraps everything with SwarmFi-specific functionality including SOL balance tracking and cluster switching.</w:t>
      </w:r>
    </w:p>
    <w:p>
      <w:pPr>
        <w:spacing w:after="120" w:line="312"/>
        <w:jc w:val="both"/>
      </w:pPr>
      <w:r>
        <w:rPr>
          <w:rFonts w:ascii="Calibri"/>
          <w:color w:val="1A2B40"/>
          <w:sz w:val="24"/>
          <w:szCs w:val="24"/>
        </w:rPr>
        <w:t xml:space="preserve">The WalletConnectButton component provides a polished UI that displays the connected wallet address, real-time SOL balance, and an Arcium encryption shield badge when connected. The dropdown menu offers one-click access to copy the wallet address, view it on Solana Explorer or SolanaFM, and disconnect. On the dashboard page, the wallet connection status directly controls what data is displayed: when disconnected, users see a prominent prompt to connect their wallet; when connected, they see their real SOL balance and USD equivalent, with live balance updates from the Solana RPC.</w:t>
      </w:r>
    </w:p>
    <w:p>
      <w:pPr>
        <w:spacing w:after="120" w:line="312"/>
        <w:jc w:val="both"/>
      </w:pPr>
      <w:r>
        <w:rPr>
          <w:rFonts w:ascii="Calibri"/>
          <w:color w:val="1A2B40"/>
          <w:sz w:val="24"/>
          <w:szCs w:val="24"/>
        </w:rPr>
        <w:t xml:space="preserve">Transaction integration is handled through the TransactionStatus component, which provides a five-state transaction lifecycle (idle, signing, sending, confirming, confirmed, failed) with visual feedback at each stage. Every on-chain action, whether it is submitting a prediction, depositing to a vault, or registering as an agent, uses this unified transaction pipeline. The Anchor program connection is managed through the useAnchorPrograms hook, which initializes program clients for all four SwarmFi programs when a wallet is connected, and provides PDA derivation helpers for account resolution. The AnchorProvider is created with confirmed commitment level for optimal balance between speed and reliability.</w:t>
      </w:r>
    </w:p>
    <w:p>
      <w:pPr>
        <w:pStyle w:val="Heading1"/>
        <w:spacing w:after="200" w:before="480"/>
      </w:pPr>
      <w:r>
        <w:rPr>
          <w:rFonts w:ascii="Times New Roman"/>
          <w:b/>
          <w:bCs/>
          <w:color w:val="1A2B40"/>
          <w:sz w:val="32"/>
          <w:szCs w:val="32"/>
        </w:rPr>
        <w:t xml:space="preserve">7. Frontend Architecture</w:t>
      </w:r>
    </w:p>
    <w:p>
      <w:pPr>
        <w:spacing w:after="120" w:line="312"/>
        <w:jc w:val="both"/>
      </w:pPr>
      <w:r>
        <w:rPr>
          <w:rFonts w:ascii="Calibri"/>
          <w:color w:val="1A2B40"/>
          <w:sz w:val="24"/>
          <w:szCs w:val="24"/>
        </w:rPr>
        <w:t xml:space="preserve">The SwarmFi frontend is built with Next.js 15 using the App Router architecture, Tailwind CSS for styling, and Recharts for data visualization. The application consists of six main pages, each designed to provide a focused view into different aspects of the swarm intelligence protocol.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c>
          <w:tcPr>
            <w:shd w:fill="1B6B7A" w:val="clear"/>
            <w:tcMar>
              <w:top w:type="dxa" w:w="60"/>
              <w:left w:type="dxa" w:w="120"/>
              <w:bottom w:type="dxa" w:w="60"/>
              <w:right w:type="dxa" w:w="120"/>
            </w:tcMar>
          </w:tcPr>
          <w:p>
            <w:pPr>
              <w:jc w:val="center"/>
            </w:pPr>
            <w:r>
              <w:rPr>
                <w:rFonts w:ascii="Calibri"/>
                <w:b/>
                <w:bCs/>
                <w:color w:val="FFFFFF"/>
                <w:sz w:val="21"/>
                <w:szCs w:val="21"/>
              </w:rPr>
              <w:t xml:space="preserve">Page</w:t>
            </w:r>
          </w:p>
        </w:tc>
        <w:tc>
          <w:tcPr>
            <w:shd w:fill="1B6B7A" w:val="clear"/>
            <w:tcMar>
              <w:top w:type="dxa" w:w="60"/>
              <w:left w:type="dxa" w:w="120"/>
              <w:bottom w:type="dxa" w:w="60"/>
              <w:right w:type="dxa" w:w="120"/>
            </w:tcMar>
          </w:tcPr>
          <w:p>
            <w:pPr>
              <w:jc w:val="center"/>
            </w:pPr>
            <w:r>
              <w:rPr>
                <w:rFonts w:ascii="Calibri"/>
                <w:b/>
                <w:bCs/>
                <w:color w:val="FFFFFF"/>
                <w:sz w:val="21"/>
                <w:szCs w:val="21"/>
              </w:rPr>
              <w:t xml:space="preserve">Route</w:t>
            </w:r>
          </w:p>
        </w:tc>
        <w:tc>
          <w:tcPr>
            <w:shd w:fill="1B6B7A" w:val="clear"/>
            <w:tcMar>
              <w:top w:type="dxa" w:w="60"/>
              <w:left w:type="dxa" w:w="120"/>
              <w:bottom w:type="dxa" w:w="60"/>
              <w:right w:type="dxa" w:w="120"/>
            </w:tcMar>
          </w:tcPr>
          <w:p>
            <w:pPr>
              <w:jc w:val="center"/>
            </w:pPr>
            <w:r>
              <w:rPr>
                <w:rFonts w:ascii="Calibri"/>
                <w:b/>
                <w:bCs/>
                <w:color w:val="FFFFFF"/>
                <w:sz w:val="21"/>
                <w:szCs w:val="21"/>
              </w:rPr>
              <w:t xml:space="preserve">Key Features</w:t>
            </w:r>
          </w:p>
        </w:tc>
      </w:tr>
      <w:tr>
        <w:tc>
          <w:tcPr>
            <w:shd w:fill="F4F8FC" w:val="clear"/>
            <w:tcMar>
              <w:top w:type="dxa" w:w="60"/>
              <w:left w:type="dxa" w:w="120"/>
              <w:bottom w:type="dxa" w:w="60"/>
              <w:right w:type="dxa" w:w="120"/>
            </w:tcMar>
          </w:tcPr>
          <w:p>
            <w:pPr>
              <w:jc w:val="left"/>
            </w:pPr>
            <w:r>
              <w:rPr>
                <w:rFonts w:ascii="Calibri"/>
                <w:color w:val="1A2B40"/>
                <w:sz w:val="21"/>
                <w:szCs w:val="21"/>
              </w:rPr>
              <w:t xml:space="preserve">Landing</w:t>
            </w:r>
          </w:p>
        </w:tc>
        <w:tc>
          <w:tcPr>
            <w:shd w:fill="F4F8FC" w:val="clear"/>
            <w:tcMar>
              <w:top w:type="dxa" w:w="60"/>
              <w:left w:type="dxa" w:w="120"/>
              <w:bottom w:type="dxa" w:w="60"/>
              <w:right w:type="dxa" w:w="120"/>
            </w:tcMar>
          </w:tcPr>
          <w:p>
            <w:pPr>
              <w:jc w:val="left"/>
            </w:pPr>
            <w:r>
              <w:rPr>
                <w:rFonts w:ascii="Calibri"/>
                <w:color w:val="1A2B40"/>
                <w:sz w:val="21"/>
                <w:szCs w:val="21"/>
              </w:rPr>
              <w:t xml:space="preserve">/</w:t>
            </w:r>
          </w:p>
        </w:tc>
        <w:tc>
          <w:tcPr>
            <w:shd w:fill="F4F8FC" w:val="clear"/>
            <w:tcMar>
              <w:top w:type="dxa" w:w="60"/>
              <w:left w:type="dxa" w:w="120"/>
              <w:bottom w:type="dxa" w:w="60"/>
              <w:right w:type="dxa" w:w="120"/>
            </w:tcMar>
          </w:tcPr>
          <w:p>
            <w:pPr>
              <w:jc w:val="left"/>
            </w:pPr>
            <w:r>
              <w:rPr>
                <w:rFonts w:ascii="Calibri"/>
                <w:color w:val="1A2B40"/>
                <w:sz w:val="21"/>
                <w:szCs w:val="21"/>
              </w:rPr>
              <w:t xml:space="preserve">Hero section, swarm visualization, platform stats, value propositions</w:t>
            </w:r>
          </w:p>
        </w:tc>
      </w:tr>
      <w:tr>
        <w:tc>
          <w:tcPr>
            <w:shd w:fill="FFFFFF" w:val="clear"/>
            <w:tcMar>
              <w:top w:type="dxa" w:w="60"/>
              <w:left w:type="dxa" w:w="120"/>
              <w:bottom w:type="dxa" w:w="60"/>
              <w:right w:type="dxa" w:w="120"/>
            </w:tcMar>
          </w:tcPr>
          <w:p>
            <w:pPr>
              <w:jc w:val="left"/>
            </w:pPr>
            <w:r>
              <w:rPr>
                <w:rFonts w:ascii="Calibri"/>
                <w:color w:val="1A2B40"/>
                <w:sz w:val="21"/>
                <w:szCs w:val="21"/>
              </w:rPr>
              <w:t xml:space="preserve">Dashboard</w:t>
            </w:r>
          </w:p>
        </w:tc>
        <w:tc>
          <w:tcPr>
            <w:shd w:fill="FFFFFF" w:val="clear"/>
            <w:tcMar>
              <w:top w:type="dxa" w:w="60"/>
              <w:left w:type="dxa" w:w="120"/>
              <w:bottom w:type="dxa" w:w="60"/>
              <w:right w:type="dxa" w:w="120"/>
            </w:tcMar>
          </w:tcPr>
          <w:p>
            <w:pPr>
              <w:jc w:val="left"/>
            </w:pPr>
            <w:r>
              <w:rPr>
                <w:rFonts w:ascii="Calibri"/>
                <w:color w:val="1A2B40"/>
                <w:sz w:val="21"/>
                <w:szCs w:val="21"/>
              </w:rPr>
              <w:t xml:space="preserve">/dashboard</w:t>
            </w:r>
          </w:p>
        </w:tc>
        <w:tc>
          <w:tcPr>
            <w:shd w:fill="FFFFFF" w:val="clear"/>
            <w:tcMar>
              <w:top w:type="dxa" w:w="60"/>
              <w:left w:type="dxa" w:w="120"/>
              <w:bottom w:type="dxa" w:w="60"/>
              <w:right w:type="dxa" w:w="120"/>
            </w:tcMar>
          </w:tcPr>
          <w:p>
            <w:pPr>
              <w:jc w:val="left"/>
            </w:pPr>
            <w:r>
              <w:rPr>
                <w:rFonts w:ascii="Calibri"/>
                <w:color w:val="1A2B40"/>
                <w:sz w:val="21"/>
                <w:szCs w:val="21"/>
              </w:rPr>
              <w:t xml:space="preserve">Real-time oracle feeds, wallet balance, consensus metrics, activity chart</w:t>
            </w:r>
          </w:p>
        </w:tc>
      </w:tr>
      <w:tr>
        <w:tc>
          <w:tcPr>
            <w:shd w:fill="F4F8FC" w:val="clear"/>
            <w:tcMar>
              <w:top w:type="dxa" w:w="60"/>
              <w:left w:type="dxa" w:w="120"/>
              <w:bottom w:type="dxa" w:w="60"/>
              <w:right w:type="dxa" w:w="120"/>
            </w:tcMar>
          </w:tcPr>
          <w:p>
            <w:pPr>
              <w:jc w:val="left"/>
            </w:pPr>
            <w:r>
              <w:rPr>
                <w:rFonts w:ascii="Calibri"/>
                <w:color w:val="1A2B40"/>
                <w:sz w:val="21"/>
                <w:szCs w:val="21"/>
              </w:rPr>
              <w:t xml:space="preserve">Prediction Markets</w:t>
            </w:r>
          </w:p>
        </w:tc>
        <w:tc>
          <w:tcPr>
            <w:shd w:fill="F4F8FC" w:val="clear"/>
            <w:tcMar>
              <w:top w:type="dxa" w:w="60"/>
              <w:left w:type="dxa" w:w="120"/>
              <w:bottom w:type="dxa" w:w="60"/>
              <w:right w:type="dxa" w:w="120"/>
            </w:tcMar>
          </w:tcPr>
          <w:p>
            <w:pPr>
              <w:jc w:val="left"/>
            </w:pPr>
            <w:r>
              <w:rPr>
                <w:rFonts w:ascii="Calibri"/>
                <w:color w:val="1A2B40"/>
                <w:sz w:val="21"/>
                <w:szCs w:val="21"/>
              </w:rPr>
              <w:t xml:space="preserve">/prediction-markets</w:t>
            </w:r>
          </w:p>
        </w:tc>
        <w:tc>
          <w:tcPr>
            <w:shd w:fill="F4F8FC" w:val="clear"/>
            <w:tcMar>
              <w:top w:type="dxa" w:w="60"/>
              <w:left w:type="dxa" w:w="120"/>
              <w:bottom w:type="dxa" w:w="60"/>
              <w:right w:type="dxa" w:w="120"/>
            </w:tcMar>
          </w:tcPr>
          <w:p>
            <w:pPr>
              <w:jc w:val="left"/>
            </w:pPr>
            <w:r>
              <w:rPr>
                <w:rFonts w:ascii="Calibri"/>
                <w:color w:val="1A2B40"/>
                <w:sz w:val="21"/>
                <w:szCs w:val="21"/>
              </w:rPr>
              <w:t xml:space="preserve">Market cards, create/submit predictions, order book, price history</w:t>
            </w:r>
          </w:p>
        </w:tc>
      </w:tr>
      <w:tr>
        <w:tc>
          <w:tcPr>
            <w:shd w:fill="FFFFFF" w:val="clear"/>
            <w:tcMar>
              <w:top w:type="dxa" w:w="60"/>
              <w:left w:type="dxa" w:w="120"/>
              <w:bottom w:type="dxa" w:w="60"/>
              <w:right w:type="dxa" w:w="120"/>
            </w:tcMar>
          </w:tcPr>
          <w:p>
            <w:pPr>
              <w:jc w:val="left"/>
            </w:pPr>
            <w:r>
              <w:rPr>
                <w:rFonts w:ascii="Calibri"/>
                <w:color w:val="1A2B40"/>
                <w:sz w:val="21"/>
                <w:szCs w:val="21"/>
              </w:rPr>
              <w:t xml:space="preserve">Vaults</w:t>
            </w:r>
          </w:p>
        </w:tc>
        <w:tc>
          <w:tcPr>
            <w:shd w:fill="FFFFFF" w:val="clear"/>
            <w:tcMar>
              <w:top w:type="dxa" w:w="60"/>
              <w:left w:type="dxa" w:w="120"/>
              <w:bottom w:type="dxa" w:w="60"/>
              <w:right w:type="dxa" w:w="120"/>
            </w:tcMar>
          </w:tcPr>
          <w:p>
            <w:pPr>
              <w:jc w:val="left"/>
            </w:pPr>
            <w:r>
              <w:rPr>
                <w:rFonts w:ascii="Calibri"/>
                <w:color w:val="1A2B40"/>
                <w:sz w:val="21"/>
                <w:szCs w:val="21"/>
              </w:rPr>
              <w:t xml:space="preserve">/vaults</w:t>
            </w:r>
          </w:p>
        </w:tc>
        <w:tc>
          <w:tcPr>
            <w:shd w:fill="FFFFFF" w:val="clear"/>
            <w:tcMar>
              <w:top w:type="dxa" w:w="60"/>
              <w:left w:type="dxa" w:w="120"/>
              <w:bottom w:type="dxa" w:w="60"/>
              <w:right w:type="dxa" w:w="120"/>
            </w:tcMar>
          </w:tcPr>
          <w:p>
            <w:pPr>
              <w:jc w:val="left"/>
            </w:pPr>
            <w:r>
              <w:rPr>
                <w:rFonts w:ascii="Calibri"/>
                <w:color w:val="1A2B40"/>
                <w:sz w:val="21"/>
                <w:szCs w:val="21"/>
              </w:rPr>
              <w:t xml:space="preserve">Vault cards, asset allocation charts, deposit/withdraw modals, rebalance history</w:t>
            </w:r>
          </w:p>
        </w:tc>
      </w:tr>
      <w:tr>
        <w:tc>
          <w:tcPr>
            <w:shd w:fill="F4F8FC" w:val="clear"/>
            <w:tcMar>
              <w:top w:type="dxa" w:w="60"/>
              <w:left w:type="dxa" w:w="120"/>
              <w:bottom w:type="dxa" w:w="60"/>
              <w:right w:type="dxa" w:w="120"/>
            </w:tcMar>
          </w:tcPr>
          <w:p>
            <w:pPr>
              <w:jc w:val="left"/>
            </w:pPr>
            <w:r>
              <w:rPr>
                <w:rFonts w:ascii="Calibri"/>
                <w:color w:val="1A2B40"/>
                <w:sz w:val="21"/>
                <w:szCs w:val="21"/>
              </w:rPr>
              <w:t xml:space="preserve">Agents</w:t>
            </w:r>
          </w:p>
        </w:tc>
        <w:tc>
          <w:tcPr>
            <w:shd w:fill="F4F8FC" w:val="clear"/>
            <w:tcMar>
              <w:top w:type="dxa" w:w="60"/>
              <w:left w:type="dxa" w:w="120"/>
              <w:bottom w:type="dxa" w:w="60"/>
              <w:right w:type="dxa" w:w="120"/>
            </w:tcMar>
          </w:tcPr>
          <w:p>
            <w:pPr>
              <w:jc w:val="left"/>
            </w:pPr>
            <w:r>
              <w:rPr>
                <w:rFonts w:ascii="Calibri"/>
                <w:color w:val="1A2B40"/>
                <w:sz w:val="21"/>
                <w:szCs w:val="21"/>
              </w:rPr>
              <w:t xml:space="preserve">/agents</w:t>
            </w:r>
          </w:p>
        </w:tc>
        <w:tc>
          <w:tcPr>
            <w:shd w:fill="F4F8FC" w:val="clear"/>
            <w:tcMar>
              <w:top w:type="dxa" w:w="60"/>
              <w:left w:type="dxa" w:w="120"/>
              <w:bottom w:type="dxa" w:w="60"/>
              <w:right w:type="dxa" w:w="120"/>
            </w:tcMar>
          </w:tcPr>
          <w:p>
            <w:pPr>
              <w:jc w:val="left"/>
            </w:pPr>
            <w:r>
              <w:rPr>
                <w:rFonts w:ascii="Calibri"/>
                <w:color w:val="1A2B40"/>
                <w:sz w:val="21"/>
                <w:szCs w:val="21"/>
              </w:rPr>
              <w:t xml:space="preserve">Agent directory, swarm network graph, reputation tiers, stigmergy feed</w:t>
            </w:r>
          </w:p>
        </w:tc>
      </w:tr>
      <w:tr>
        <w:tc>
          <w:tcPr>
            <w:shd w:fill="FFFFFF" w:val="clear"/>
            <w:tcMar>
              <w:top w:type="dxa" w:w="60"/>
              <w:left w:type="dxa" w:w="120"/>
              <w:bottom w:type="dxa" w:w="60"/>
              <w:right w:type="dxa" w:w="120"/>
            </w:tcMar>
          </w:tcPr>
          <w:p>
            <w:pPr>
              <w:jc w:val="left"/>
            </w:pPr>
            <w:r>
              <w:rPr>
                <w:rFonts w:ascii="Calibri"/>
                <w:color w:val="1A2B40"/>
                <w:sz w:val="21"/>
                <w:szCs w:val="21"/>
              </w:rPr>
              <w:t xml:space="preserve">Settings</w:t>
            </w:r>
          </w:p>
        </w:tc>
        <w:tc>
          <w:tcPr>
            <w:shd w:fill="FFFFFF" w:val="clear"/>
            <w:tcMar>
              <w:top w:type="dxa" w:w="60"/>
              <w:left w:type="dxa" w:w="120"/>
              <w:bottom w:type="dxa" w:w="60"/>
              <w:right w:type="dxa" w:w="120"/>
            </w:tcMar>
          </w:tcPr>
          <w:p>
            <w:pPr>
              <w:jc w:val="left"/>
            </w:pPr>
            <w:r>
              <w:rPr>
                <w:rFonts w:ascii="Calibri"/>
                <w:color w:val="1A2B40"/>
                <w:sz w:val="21"/>
                <w:szCs w:val="21"/>
              </w:rPr>
              <w:t xml:space="preserve">/settings</w:t>
            </w:r>
          </w:p>
        </w:tc>
        <w:tc>
          <w:tcPr>
            <w:shd w:fill="FFFFFF" w:val="clear"/>
            <w:tcMar>
              <w:top w:type="dxa" w:w="60"/>
              <w:left w:type="dxa" w:w="120"/>
              <w:bottom w:type="dxa" w:w="60"/>
              <w:right w:type="dxa" w:w="120"/>
            </w:tcMar>
          </w:tcPr>
          <w:p>
            <w:pPr>
              <w:jc w:val="left"/>
            </w:pPr>
            <w:r>
              <w:rPr>
                <w:rFonts w:ascii="Calibri"/>
                <w:color w:val="1A2B40"/>
                <w:sz w:val="21"/>
                <w:szCs w:val="21"/>
              </w:rPr>
              <w:t xml:space="preserve">Wallet info, cluster switching, agent registration, notifications</w:t>
            </w:r>
          </w:p>
        </w:tc>
      </w:tr>
    </w:tbl>
    <w:p>
      <w:pPr>
        <w:spacing w:after="120" w:line="312"/>
        <w:jc w:val="both"/>
      </w:pPr>
      <w:r>
        <w:rPr>
          <w:rFonts w:ascii="Calibri"/>
          <w:color w:val="1A2B40"/>
          <w:sz w:val="24"/>
          <w:szCs w:val="24"/>
        </w:rPr>
        <w:t xml:space="preserve"/>
      </w:r>
    </w:p>
    <w:p>
      <w:pPr>
        <w:spacing w:after="120" w:line="312"/>
        <w:jc w:val="both"/>
      </w:pPr>
      <w:r>
        <w:rPr>
          <w:rFonts w:ascii="Calibri"/>
          <w:color w:val="1A2B40"/>
          <w:sz w:val="24"/>
          <w:szCs w:val="24"/>
        </w:rPr>
        <w:t xml:space="preserve">The design system uses a dark slate background with cyan and purple gradient accents, glass-card morphism effects, and animated swarm visualization particles on the landing page. The SwarmVisualization component renders 40+ animated particles with SVG connection lines, simulating the dynamic agent coordination network. All interactive elements feature hover states, transitions, and responsive layouts that adapt seamlessly between desktop and mobile viewports.</w:t>
      </w:r>
    </w:p>
    <w:p>
      <w:pPr>
        <w:pStyle w:val="Heading1"/>
        <w:spacing w:after="200" w:before="480"/>
      </w:pPr>
      <w:r>
        <w:rPr>
          <w:rFonts w:ascii="Times New Roman"/>
          <w:b/>
          <w:bCs/>
          <w:color w:val="1A2B40"/>
          <w:sz w:val="32"/>
          <w:szCs w:val="32"/>
        </w:rPr>
        <w:t xml:space="preserve">8. AI Agent Architecture (Python)</w:t>
      </w:r>
    </w:p>
    <w:p>
      <w:pPr>
        <w:spacing w:after="120" w:line="312"/>
        <w:jc w:val="both"/>
      </w:pPr>
      <w:r>
        <w:rPr>
          <w:rFonts w:ascii="Calibri"/>
          <w:color w:val="1A2B40"/>
          <w:sz w:val="24"/>
          <w:szCs w:val="24"/>
        </w:rPr>
        <w:t xml:space="preserve">The off-chain AI agent network is implemented in Python and consists of three specialized agent types that continuously monitor, analyze, and act on market data. The architecture follows a modular design where each agent type has a clear responsibility, and an orchestrator coordinates their lifecycle and communication.</w:t>
      </w:r>
    </w:p>
    <w:p>
      <w:pPr>
        <w:spacing w:after="120" w:line="312"/>
        <w:jc w:val="both"/>
      </w:pPr>
      <w:r>
        <w:rPr>
          <w:rFonts w:ascii="Calibri"/>
          <w:color w:val="1A2B40"/>
          <w:sz w:val="24"/>
          <w:szCs w:val="24"/>
        </w:rPr>
        <w:t xml:space="preserve">Price Agents are the primary data collectors. Each price agent specializes in a specific data source: the CoinGecko agent aggregates spot prices from the CoinGecko API, the DEX agent monitors on-chain DEX trading activity for real-time price signals, and the News Agent uses NLP to extract sentiment and event-driven price signals from news feeds. All price agents implement a common base interface that normalizes their outputs into a standardized format for submission to the on-chain oracle.</w:t>
      </w:r>
    </w:p>
    <w:p>
      <w:pPr>
        <w:spacing w:after="120" w:line="312"/>
        <w:jc w:val="both"/>
      </w:pPr>
      <w:r>
        <w:rPr>
          <w:rFonts w:ascii="Calibri"/>
          <w:color w:val="1A2B40"/>
          <w:sz w:val="24"/>
          <w:szCs w:val="24"/>
        </w:rPr>
        <w:t xml:space="preserve">The Market Maker agents observe the price feeds and stigmergy signals to make informed decisions about prediction market positions and vault allocations. They implement simple algorithmic strategies for market making, including inventory-based pricing and signal-following behavior. The Risk agents monitor the overall system for anomalies, excessive volatility, and potential oracle manipulation attempts. When they detect anomalies, they deposit RiskAlert stigmergy signals that influence the behavior of other agents in the swarm.</w:t>
      </w:r>
    </w:p>
    <w:p>
      <w:pPr>
        <w:spacing w:after="120" w:line="312"/>
        <w:jc w:val="both"/>
      </w:pPr>
      <w:r>
        <w:rPr>
          <w:rFonts w:ascii="Calibri"/>
          <w:color w:val="1A2B40"/>
          <w:sz w:val="24"/>
          <w:szCs w:val="24"/>
        </w:rPr>
        <w:t xml:space="preserve">The Orchestrator manages the lifecycle of all agents, handles health monitoring, and ensures that agents are submitting to the oracle at appropriate intervals. The stigmergy module provides a shared interface for reading and writing stigmergy signals, and the consensus module implements the weighted median algorithm that mirrors the on-chain consensus mechanism. This dual implementation allows the Python agents to pre-compute expected consensus results and verify that the on-chain outcome matches their expectations.</w:t>
      </w:r>
    </w:p>
    <w:p>
      <w:pPr>
        <w:pStyle w:val="Heading1"/>
        <w:spacing w:after="200" w:before="480"/>
      </w:pPr>
      <w:r>
        <w:rPr>
          <w:rFonts w:ascii="Times New Roman"/>
          <w:b/>
          <w:bCs/>
          <w:color w:val="1A2B40"/>
          <w:sz w:val="32"/>
          <w:szCs w:val="32"/>
        </w:rPr>
        <w:t xml:space="preserve">9. Security Considerations</w:t>
      </w:r>
    </w:p>
    <w:p>
      <w:pPr>
        <w:spacing w:after="120" w:line="312"/>
        <w:jc w:val="both"/>
      </w:pPr>
      <w:r>
        <w:rPr>
          <w:rFonts w:ascii="Calibri"/>
          <w:color w:val="1A2B40"/>
          <w:sz w:val="24"/>
          <w:szCs w:val="24"/>
        </w:rPr>
        <w:t xml:space="preserve">SwarmFi incorporates multiple layers of security to protect user funds and ensure the integrity of oracle data. The economic security model requires agents to stake SOL, which is slashed proportionally to the deviation from consensus. The slash rate is configurable by the oracle admin and is measured in basis points relative to the deviation from the consensus price. This creates a strong economic disincentive against submitting false or manipulated price data.</w:t>
      </w:r>
    </w:p>
    <w:p>
      <w:pPr>
        <w:spacing w:after="120" w:line="312"/>
        <w:jc w:val="both"/>
      </w:pPr>
      <w:r>
        <w:rPr>
          <w:rFonts w:ascii="Calibri"/>
          <w:color w:val="1A2B40"/>
          <w:sz w:val="24"/>
          <w:szCs w:val="24"/>
        </w:rPr>
        <w:t xml:space="preserve">The Arcium encryption layer adds data privacy as an additional security dimension. By encrypting oracle submissions, agents prevent competitors from observing their individual price estimates before consensus is reached. This eliminates front-running opportunities and protects proprietary trading strategies. The SHA-256 data hash stored on-chain provides integrity verification, ensuring that encrypted data cannot be tampered with between submission and consensus computation.</w:t>
      </w:r>
    </w:p>
    <w:p>
      <w:pPr>
        <w:spacing w:after="120" w:line="312"/>
        <w:jc w:val="both"/>
      </w:pPr>
      <w:r>
        <w:rPr>
          <w:rFonts w:ascii="Calibri"/>
          <w:color w:val="1A2B40"/>
          <w:sz w:val="24"/>
          <w:szCs w:val="24"/>
        </w:rPr>
        <w:t xml:space="preserve">The reputation system creates a long-term security incentive. Agents that consistently submit accurate data build reputation over time, increasing their influence and earning potential. Agents that attempt manipulation or consistently perform poorly lose reputation, reducing their ability to influence future consensus rounds. This creates a virtuous cycle where the most trustworthy agents naturally accumulate the most influence, making the system increasingly resilient over time.</w:t>
      </w:r>
    </w:p>
    <w:p>
      <w:pPr>
        <w:pStyle w:val="Heading1"/>
        <w:spacing w:after="200" w:before="480"/>
      </w:pPr>
      <w:r>
        <w:rPr>
          <w:rFonts w:ascii="Times New Roman"/>
          <w:b/>
          <w:bCs/>
          <w:color w:val="1A2B40"/>
          <w:sz w:val="32"/>
          <w:szCs w:val="32"/>
        </w:rPr>
        <w:t xml:space="preserve">10. Roadmap &amp; Future Development</w:t>
      </w:r>
    </w:p>
    <w:p>
      <w:pPr>
        <w:spacing w:after="120" w:line="312"/>
        <w:jc w:val="both"/>
      </w:pPr>
      <w:r>
        <w:rPr>
          <w:rFonts w:ascii="Calibri"/>
          <w:color w:val="1A2B40"/>
          <w:sz w:val="24"/>
          <w:szCs w:val="24"/>
        </w:rPr>
        <w:t xml:space="preserve">SwarmFi's development roadmap is organized into three phases. Phase 1, which is the current submission, establishes the core protocol with four Anchor programs, the Next.js frontend with Phantom wallet integration, Arcium encryption for privacy-preserving oracle submissions, and the Python AI agent framework. This phase demonstrates the viability of swarm intelligence as a coordination mechanism for decentralized finance on Solana.</w:t>
      </w:r>
    </w:p>
    <w:p>
      <w:pPr>
        <w:spacing w:after="120" w:line="312"/>
        <w:jc w:val="both"/>
      </w:pPr>
      <w:r>
        <w:rPr>
          <w:rFonts w:ascii="Calibri"/>
          <w:color w:val="1A2B40"/>
          <w:sz w:val="24"/>
          <w:szCs w:val="24"/>
        </w:rPr>
        <w:t xml:space="preserve">Phase 2 will focus on mainnet deployment and production hardening. Key milestones include deploying all four programs to Solana mainnet, integrating with Pyth Network and Switchboard for additional price data sources, implementing cross-chain oracle feeds through Wormhole, and launching a token generation event (TGE) for the SWRM governance token. The governance token will enable community-driven protocol parameter adjustments, including slash rates, consensus thresholds, and reputation scoring algorithms.</w:t>
      </w:r>
    </w:p>
    <w:p>
      <w:pPr>
        <w:spacing w:after="120" w:line="312"/>
        <w:jc w:val="both"/>
      </w:pPr>
      <w:r>
        <w:rPr>
          <w:rFonts w:ascii="Calibri"/>
          <w:color w:val="1A2B40"/>
          <w:sz w:val="24"/>
          <w:szCs w:val="24"/>
        </w:rPr>
        <w:t xml:space="preserve">Phase 3 will expand the protocol's capabilities with advanced features. These include support for complex multi-outcome prediction markets (not just binary), integration with Solana DeFi lending protocols for leveraged prediction positions, a mobile SDK for agent operators, and a decentralized agent marketplace where operators can list their specialized agents for hire by vault creators and market makers. The long-term vision is to establish SwarmFi as the foundational intelligence layer for all AI-driven financial applications on Solana.</w:t>
      </w:r>
    </w:p>
    <w:p>
      <w:pPr>
        <w:pStyle w:val="Heading1"/>
        <w:spacing w:after="200" w:before="480"/>
      </w:pPr>
      <w:r>
        <w:rPr>
          <w:rFonts w:ascii="Times New Roman"/>
          <w:b/>
          <w:bCs/>
          <w:color w:val="1A2B40"/>
          <w:sz w:val="32"/>
          <w:szCs w:val="32"/>
        </w:rPr>
        <w:t xml:space="preserve">11. Conclusion</w:t>
      </w:r>
    </w:p>
    <w:p>
      <w:pPr>
        <w:spacing w:after="120" w:line="312"/>
        <w:jc w:val="both"/>
      </w:pPr>
      <w:r>
        <w:rPr>
          <w:rFonts w:ascii="Calibri"/>
          <w:color w:val="1A2B40"/>
          <w:sz w:val="24"/>
          <w:szCs w:val="24"/>
        </w:rPr>
        <w:t xml:space="preserve">SwarmFi demonstrates that swarm intelligence principles, when combined with Solana's high-performance blockchain and Anchor's developer-friendly framework, can create a new paradigm for decentralized financial infrastructure. By enabling AI agents to coordinate through stigmergy, achieve consensus through weighted aggregation, and maintain accountability through staking and reputation, SwarmFi creates a self-improving, censorship-resistant, and economically secure protocol that is uniquely suited to the demands of modern DeFi.</w:t>
      </w:r>
    </w:p>
    <w:p>
      <w:pPr>
        <w:spacing w:after="120" w:line="312"/>
        <w:jc w:val="both"/>
      </w:pPr>
      <w:r>
        <w:rPr>
          <w:rFonts w:ascii="Calibri"/>
          <w:color w:val="1A2B40"/>
          <w:sz w:val="24"/>
          <w:szCs w:val="24"/>
        </w:rPr>
        <w:t xml:space="preserve">The integration of Phantom wallet for seamless user interaction, Arcium confidential computing for privacy-preserving oracle submissions, and a polished Next.js frontend creates a complete end-to-end experience that is ready for real-world deployment. The modular architecture of both the on-chain programs and the off-chain agent framework ensures that the protocol can evolve rapidly as the Solana ecosystem matures and new opportunities emerge.</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t xml:space="preserve">Page </w:t>
    </w: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SwarmFi </w:t>
    </w:r>
    <w:r>
      <w:rPr>
        <w:rFonts w:ascii="Calibri"/>
        <w:color w:val="6878A0"/>
        <w:sz w:val="18"/>
        <w:szCs w:val="18"/>
      </w:rPr>
      <w:t xml:space="preserve">| Colosseum Frontier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b/>
      <w:bCs/>
      <w:color w:val="1A2B40"/>
      <w:sz w:val="32"/>
      <w:szCs w:val="32"/>
    </w:rPr>
  </w:style>
  <w:style w:type="paragraph" w:styleId="Heading2">
    <w:name w:val="Heading 2"/>
    <w:basedOn w:val="Normal"/>
    <w:next w:val="Normal"/>
    <w:qFormat/>
    <w:rPr>
      <w:rFonts w:ascii="Times New Roman"/>
      <w:b/>
      <w:bCs/>
      <w:color w:val="1A2B4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2026-04-14T16:56:39.352Z</dcterms:created>
  <dcterms:modified xsi:type="dcterms:W3CDTF">2026-04-14T16:56:39.353Z</dcterms:modified>
</cp:coreProperties>
</file>

<file path=docProps/custom.xml><?xml version="1.0" encoding="utf-8"?>
<Properties xmlns="http://schemas.openxmlformats.org/officeDocument/2006/custom-properties" xmlns:vt="http://schemas.openxmlformats.org/officeDocument/2006/docPropsVTypes"/>
</file>