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52"/>
          <w:szCs w:val="52"/>
        </w:rPr>
        <w:t xml:space="preserve">Transport &amp; Fleet Management SaaS</w:t>
      </w:r>
    </w:p>
    <w:p>
      <w:pPr>
        <w:spacing w:after="400" w:before="200"/>
        <w:jc w:val="center"/>
      </w:pPr>
      <w:r>
        <w:rPr>
          <w:color w:val="2E75B6"/>
          <w:sz w:val="30"/>
          <w:szCs w:val="30"/>
        </w:rPr>
        <w:t xml:space="preserve">Product Concept &amp; Requirements Document</w:t>
      </w:r>
    </w:p>
    <w:p>
      <w:pPr>
        <w:spacing w:after="80"/>
        <w:jc w:val="center"/>
      </w:pPr>
      <w:r>
        <w:rPr>
          <w:color w:val="595959"/>
          <w:sz w:val="22"/>
          <w:szCs w:val="22"/>
        </w:rPr>
        <w:t xml:space="preserve">Target Market: United Arab Emirates &amp; Kingdom of Saudi Arabia</w:t>
      </w:r>
    </w:p>
    <w:p>
      <w:pPr>
        <w:spacing w:after="80"/>
        <w:jc w:val="center"/>
      </w:pPr>
      <w:r>
        <w:rPr>
          <w:color w:val="595959"/>
          <w:sz w:val="22"/>
          <w:szCs w:val="22"/>
        </w:rPr>
        <w:t xml:space="preserve">Prepared for: Internal product planning — multi-client SaaS initiative</w:t>
      </w:r>
    </w:p>
    <w:p>
      <w:pPr>
        <w:spacing w:after="80"/>
        <w:jc w:val="center"/>
      </w:pPr>
      <w:r>
        <w:rPr>
          <w:color w:val="595959"/>
          <w:sz w:val="22"/>
          <w:szCs w:val="22"/>
        </w:rPr>
        <w:t xml:space="preserve">Status: Draft v1 — for discussion</w:t>
      </w:r>
    </w:p>
    <w:p>
      <w:pPr>
        <w:spacing w:after="1200"/>
        <w:jc w:val="center"/>
      </w:pPr>
      <w:r>
        <w:rPr>
          <w:color w:val="595959"/>
          <w:sz w:val="22"/>
          <w:szCs w:val="22"/>
        </w:rPr>
        <w:t xml:space="preserve">Date: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Your client runs a UAE-based transport contracting business: a mix of owned vehicles (buses, six-wheelers, eight-wheelers), rented-in vehicles, and third-party subcontracted vehicles arranged on a commission basis. Drivers are sometimes company-employed and sometimes managed by the contractor or end client. Today this entire operation — accounting, HR, invoicing, and vehicle tracking — runs across Excel, a third-party app or two, manual letterhead invoices, and WhatsApp delivery.</w:t>
      </w:r>
    </w:p>
    <w:p>
      <w:pPr>
        <w:spacing w:after="160"/>
      </w:pPr>
      <w:r>
        <w:t xml:space="preserve">You have multiple clients running this exact same business model. That repetition is the signal: this isn't a one-off automation job, it's a real SaaS opportunity — a mobile-first platform that brings fleet, contracts, dispatch, invoicing, HR/payroll, and compliance under one roof for transport contractors across the UAE and KSA.</w:t>
      </w:r>
    </w:p>
    <w:p>
      <w:pPr>
        <w:spacing w:after="160"/>
      </w:pPr>
      <w:r>
        <w:t xml:space="preserve">Two things make the timing good. First, the UAE is moving to mandatory structured e-invoicing between 2026 and 2027 — the WhatsApp-PDF-invoice workflow your client uses today will stop being legally sufficient. Second, Saudi Arabia's ZATCA e-invoicing mandate is already live, which means a KSA-ready platform needs to take invoicing compliance seriously from day one, not as a "phase 3" feature.</w:t>
      </w:r>
    </w:p>
    <w:p>
      <w:pPr>
        <w:spacing w:after="160"/>
      </w:pPr>
      <w:r>
        <w:t xml:space="preserve">This document lays out the validated business model, the regulatory landscape in both markets, a proposed module breakdown, architecture direction, a technology stack comparison, and a build roadmap — based on your decisions so far: broad v1 scope, and UAE + KSA together from launch.</w:t>
      </w:r>
    </w:p>
    <w:p>
      <w:pPr>
        <w:pStyle w:val="Heading1"/>
      </w:pPr>
      <w:r>
        <w:t xml:space="preserve">2. Problem Statement</w:t>
      </w:r>
    </w:p>
    <w:p>
      <w:pPr>
        <w:spacing w:after="100"/>
      </w:pPr>
      <w:r>
        <w:t xml:space="preserve">Pain points in the current manual process:</w:t>
      </w:r>
    </w:p>
    <w:p>
      <w:pPr>
        <w:pStyle w:val="ListParagraph"/>
        <w:numPr>
          <w:ilvl w:val="0"/>
          <w:numId w:val="2"/>
        </w:numPr>
        <w:spacing w:after="80"/>
      </w:pPr>
      <w:r>
        <w:t xml:space="preserve">Accounting, finance, and HR data scattered across Excel sheets with no single source of truth.</w:t>
      </w:r>
    </w:p>
    <w:p>
      <w:pPr>
        <w:pStyle w:val="ListParagraph"/>
        <w:numPr>
          <w:ilvl w:val="0"/>
          <w:numId w:val="2"/>
        </w:numPr>
        <w:spacing w:after="80"/>
      </w:pPr>
      <w:r>
        <w:t xml:space="preserve">Invoices manually created on letterhead and sent via WhatsApp — no audit trail, no structured data, not e-invoicing-ready.</w:t>
      </w:r>
    </w:p>
    <w:p>
      <w:pPr>
        <w:pStyle w:val="ListParagraph"/>
        <w:numPr>
          <w:ilvl w:val="0"/>
          <w:numId w:val="2"/>
        </w:numPr>
        <w:spacing w:after="80"/>
      </w:pPr>
      <w:r>
        <w:t xml:space="preserve">No unified view of the fleet: owned, rented, and subcontracted vehicles are tracked separately, often only in someone's memory.</w:t>
      </w:r>
    </w:p>
    <w:p>
      <w:pPr>
        <w:pStyle w:val="ListParagraph"/>
        <w:numPr>
          <w:ilvl w:val="0"/>
          <w:numId w:val="2"/>
        </w:numPr>
        <w:spacing w:after="80"/>
      </w:pPr>
      <w:r>
        <w:t xml:space="preserve">Commission on subcontracted/third-party vehicles is calculated manually per job, with no historical reporting on margin.</w:t>
      </w:r>
    </w:p>
    <w:p>
      <w:pPr>
        <w:pStyle w:val="ListParagraph"/>
        <w:numPr>
          <w:ilvl w:val="0"/>
          <w:numId w:val="2"/>
        </w:numPr>
        <w:spacing w:after="80"/>
      </w:pPr>
      <w:r>
        <w:t xml:space="preserve">Vehicle GPS tracking is locked into whichever third-party tracker app was installed per vehicle — no consolidated live view.</w:t>
      </w:r>
    </w:p>
    <w:p>
      <w:pPr>
        <w:pStyle w:val="ListParagraph"/>
        <w:numPr>
          <w:ilvl w:val="0"/>
          <w:numId w:val="2"/>
        </w:numPr>
        <w:spacing w:after="80"/>
      </w:pPr>
      <w:r>
        <w:t xml:space="preserve">Driver records (employed vs. client-managed) and document expiries (license, visa, Emirates ID) are not proactively tracked.</w:t>
      </w:r>
    </w:p>
    <w:p>
      <w:pPr>
        <w:pStyle w:val="ListParagraph"/>
        <w:numPr>
          <w:ilvl w:val="0"/>
          <w:numId w:val="2"/>
        </w:numPr>
        <w:spacing w:after="80"/>
      </w:pPr>
      <w:r>
        <w:t xml:space="preserve">Every client running this business solves the same problems independently, with no shared tooling between them.</w:t>
      </w:r>
    </w:p>
    <w:p>
      <w:pPr>
        <w:pStyle w:val="Heading1"/>
      </w:pPr>
      <w:r>
        <w:t xml:space="preserve">3. Market Validation</w:t>
      </w:r>
    </w:p>
    <w:p>
      <w:pPr>
        <w:spacing w:after="160"/>
      </w:pPr>
      <w:r>
        <w:t xml:space="preserve">This is a well-established, named vertical in the UAE market — not a hypothetical niche. Commercial operators across the Emirates already run owned-and-rented mixed fleets on monthly and annual contracts, frequently bundling a dedicated vehicle with an assigned driver under fixed billing. Regional transport-ERP vendors selling into this market explicitly list job costing and commission management as standard features, which confirms that the broker/subcontractor-with-margin model your client runs is a recognized category, not an edge case.</w:t>
      </w:r>
    </w:p>
    <w:p>
      <w:pPr>
        <w:spacing w:after="160"/>
      </w:pPr>
      <w:r>
        <w:t xml:space="preserve">Most existing tooling, however, falls into one of two camps: global enterprise telematics platforms (GPS-and-compliance-first, priced and built for large fleets) or regional transport ERPs (feature-rich but web-first, enterprise-priced, and not mobile-native). A mobile-first, affordable, multi-tenant product purpose-built for the small-to-mid operator running a mixed owned/rented/subcontracted fleet is a genuine gap — see Section 7 for the detailed competitive comparison.</w:t>
      </w:r>
    </w:p>
    <w:p>
      <w:pPr>
        <w:pStyle w:val="Heading1"/>
      </w:pPr>
      <w:r>
        <w:t xml:space="preserve">4. Target Users &amp; Personas</w:t>
      </w:r>
    </w:p>
    <w:p>
      <w:pPr>
        <w:pStyle w:val="ListParagraph"/>
        <w:numPr>
          <w:ilvl w:val="0"/>
          <w:numId w:val="2"/>
        </w:numPr>
        <w:spacing w:after="80"/>
      </w:pPr>
      <w:r>
        <w:t xml:space="preserve">Fleet/Transport Operator (Owner or Admin) — your direct customer; needs the full picture across fleet, contracts, money, and people.</w:t>
      </w:r>
    </w:p>
    <w:p>
      <w:pPr>
        <w:pStyle w:val="ListParagraph"/>
        <w:numPr>
          <w:ilvl w:val="0"/>
          <w:numId w:val="2"/>
        </w:numPr>
        <w:spacing w:after="80"/>
      </w:pPr>
      <w:r>
        <w:t xml:space="preserve">Dispatch/Operations Staff — assigns vehicles and drivers to jobs day-to-day.</w:t>
      </w:r>
    </w:p>
    <w:p>
      <w:pPr>
        <w:pStyle w:val="ListParagraph"/>
        <w:numPr>
          <w:ilvl w:val="0"/>
          <w:numId w:val="2"/>
        </w:numPr>
        <w:spacing w:after="80"/>
      </w:pPr>
      <w:r>
        <w:t xml:space="preserve">Accountant/Finance Staff — handles invoicing, payments, payroll, and compliance exports.</w:t>
      </w:r>
    </w:p>
    <w:p>
      <w:pPr>
        <w:pStyle w:val="ListParagraph"/>
        <w:numPr>
          <w:ilvl w:val="0"/>
          <w:numId w:val="2"/>
        </w:numPr>
        <w:spacing w:after="80"/>
      </w:pPr>
      <w:r>
        <w:t xml:space="preserve">Drivers (company-employed) — use a lightweight mobile flow for trip check-in/out and logging.</w:t>
      </w:r>
    </w:p>
    <w:p>
      <w:pPr>
        <w:pStyle w:val="ListParagraph"/>
        <w:numPr>
          <w:ilvl w:val="0"/>
          <w:numId w:val="2"/>
        </w:numPr>
        <w:spacing w:after="80"/>
      </w:pPr>
      <w:r>
        <w:t xml:space="preserve">Subcontracted vehicle owners/third-party companies — indirect actor; may not need direct app access in v1, but their vehicles and commission terms must be tracked.</w:t>
      </w:r>
    </w:p>
    <w:p>
      <w:pPr>
        <w:pStyle w:val="ListParagraph"/>
        <w:numPr>
          <w:ilvl w:val="0"/>
          <w:numId w:val="2"/>
        </w:numPr>
        <w:spacing w:after="80"/>
      </w:pPr>
      <w:r>
        <w:t xml:space="preserve">End customers (companies or individuals requesting transport) — receive invoices and, in a later phase, may get a lightweight self-service portal.</w:t>
      </w:r>
    </w:p>
    <w:p>
      <w:pPr>
        <w:pStyle w:val="ListParagraph"/>
        <w:numPr>
          <w:ilvl w:val="0"/>
          <w:numId w:val="2"/>
        </w:numPr>
        <w:spacing w:after="80"/>
      </w:pPr>
      <w:r>
        <w:t xml:space="preserve">Platform Super Admin — your own role for managing tenants, subscriptions, and platform health across all client accounts.</w:t>
      </w:r>
    </w:p>
    <w:p>
      <w:pPr>
        <w:pStyle w:val="Heading1"/>
      </w:pPr>
      <w:r>
        <w:t xml:space="preserve">5. Business Model &amp; Vehicle Sourcing Types</w:t>
      </w:r>
    </w:p>
    <w:p>
      <w:pPr>
        <w:spacing w:after="100"/>
      </w:pPr>
      <w:r>
        <w:t xml:space="preserve">Every job in the system needs to know how the vehicle was sourced and how the driver is managed, because both affect costing, invoicing, and who is responsible for compliance.</w:t>
      </w:r>
    </w:p>
    <w:p>
      <w:pPr>
        <w:pStyle w:val="Heading3"/>
      </w:pPr>
      <w:r>
        <w:t xml:space="preserve">Vehicle sourcing types</w:t>
      </w:r>
    </w:p>
    <w:p>
      <w:pPr>
        <w:pStyle w:val="ListParagraph"/>
        <w:numPr>
          <w:ilvl w:val="0"/>
          <w:numId w:val="2"/>
        </w:numPr>
        <w:spacing w:after="80"/>
      </w:pPr>
      <w:r>
        <w:t xml:space="preserve">Owned — vehicle belongs to the operator; full cost and revenue captured directly.</w:t>
      </w:r>
    </w:p>
    <w:p>
      <w:pPr>
        <w:pStyle w:val="ListParagraph"/>
        <w:numPr>
          <w:ilvl w:val="0"/>
          <w:numId w:val="2"/>
        </w:numPr>
        <w:spacing w:after="80"/>
      </w:pPr>
      <w:r>
        <w:t xml:space="preserve">Rented-in — operator pays a fixed rent to a vehicle owner, then bills the end client; margin is rent vs. billed rate.</w:t>
      </w:r>
    </w:p>
    <w:p>
      <w:pPr>
        <w:pStyle w:val="ListParagraph"/>
        <w:numPr>
          <w:ilvl w:val="0"/>
          <w:numId w:val="2"/>
        </w:numPr>
        <w:spacing w:after="80"/>
      </w:pPr>
      <w:r>
        <w:t xml:space="preserve">Subcontracted / commission — operator arranges a third-party vehicle for a specific client job and earns a commission or margin on top of the third party's rate.</w:t>
      </w:r>
    </w:p>
    <w:p>
      <w:pPr>
        <w:pStyle w:val="Heading3"/>
      </w:pPr>
      <w:r>
        <w:t xml:space="preserve">Driver management types</w:t>
      </w:r>
    </w:p>
    <w:p>
      <w:pPr>
        <w:pStyle w:val="ListParagraph"/>
        <w:numPr>
          <w:ilvl w:val="0"/>
          <w:numId w:val="2"/>
        </w:numPr>
        <w:spacing w:after="80"/>
      </w:pPr>
      <w:r>
        <w:t xml:space="preserve">Company-employed driver — operator handles salary, WPS/Mudad compliance, documents, performance.</w:t>
      </w:r>
    </w:p>
    <w:p>
      <w:pPr>
        <w:pStyle w:val="ListParagraph"/>
        <w:numPr>
          <w:ilvl w:val="0"/>
          <w:numId w:val="2"/>
        </w:numPr>
        <w:spacing w:after="80"/>
      </w:pPr>
      <w:r>
        <w:t xml:space="preserve">Client- or contractor-managed driver — operator only manages the vehicle; driver is outside their payroll responsibility.</w:t>
      </w:r>
    </w:p>
    <w:p>
      <w:pPr>
        <w:pStyle w:val="Heading3"/>
      </w:pPr>
      <w:r>
        <w:t xml:space="preserve">Contract types</w:t>
      </w:r>
    </w:p>
    <w:p>
      <w:pPr>
        <w:pStyle w:val="ListParagraph"/>
        <w:numPr>
          <w:ilvl w:val="0"/>
          <w:numId w:val="2"/>
        </w:numPr>
        <w:spacing w:after="80"/>
      </w:pPr>
      <w:r>
        <w:t xml:space="preserve">Private / ad-hoc contract — one-off or short-term job.</w:t>
      </w:r>
    </w:p>
    <w:p>
      <w:pPr>
        <w:pStyle w:val="ListParagraph"/>
        <w:numPr>
          <w:ilvl w:val="0"/>
          <w:numId w:val="2"/>
        </w:numPr>
        <w:spacing w:after="80"/>
      </w:pPr>
      <w:r>
        <w:t xml:space="preserve">Recurring B2B company contract — ongoing staff transport, fixed monthly billing.</w:t>
      </w:r>
    </w:p>
    <w:p>
      <w:pPr>
        <w:pStyle w:val="ListParagraph"/>
        <w:numPr>
          <w:ilvl w:val="0"/>
          <w:numId w:val="2"/>
        </w:numPr>
        <w:spacing w:after="80"/>
      </w:pPr>
      <w:r>
        <w:t xml:space="preserve">Formal government/large-corporate contract — requires letterhead invoicing, often includes overtime billing rules.</w:t>
      </w:r>
    </w:p>
    <w:p>
      <w:pPr>
        <w:pStyle w:val="Heading1"/>
      </w:pPr>
      <w:r>
        <w:t xml:space="preserve">6. Regulatory &amp; Compliance Considerations</w:t>
      </w:r>
    </w:p>
    <w:p>
      <w:pPr>
        <w:spacing w:after="120"/>
      </w:pPr>
      <w:r>
        <w:t xml:space="preserve">Because v1 targets UAE and KSA together, the platform needs a country-aware compliance layer from the start rather than a UAE-only design that gets retrofitted for Saudi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c>
          <w:tcPr>
            <w:tcW w:type="dxa" w:w="17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center"/>
          </w:tcPr>
          <w:p>
            <w:r>
              <w:rPr>
                <w:b/>
                <w:bCs/>
                <w:sz w:val="20"/>
                <w:szCs w:val="20"/>
              </w:rPr>
              <w:t xml:space="preserve">Area</w:t>
            </w:r>
          </w:p>
        </w:tc>
        <w:tc>
          <w:tcPr>
            <w:tcW w:type="dxa" w:w="37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center"/>
          </w:tcPr>
          <w:p>
            <w:r>
              <w:rPr>
                <w:b/>
                <w:bCs/>
                <w:sz w:val="20"/>
                <w:szCs w:val="20"/>
              </w:rPr>
              <w:t xml:space="preserve">UAE</w:t>
            </w:r>
          </w:p>
        </w:tc>
        <w:tc>
          <w:tcPr>
            <w:tcW w:type="dxa" w:w="3626"/>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center"/>
          </w:tcPr>
          <w:p>
            <w:r>
              <w:rPr>
                <w:b/>
                <w:bCs/>
                <w:sz w:val="20"/>
                <w:szCs w:val="20"/>
              </w:rPr>
              <w:t xml:space="preserve">KSA</w:t>
            </w:r>
          </w:p>
        </w:tc>
      </w:tr>
      <w:tr>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E-invoicing</w:t>
            </w:r>
          </w:p>
        </w:tc>
        <w:tc>
          <w:tcPr>
            <w:tcW w:type="dxa" w:w="3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FTA Electronic Invoicing System on Peppol/PINT AE. Voluntary pilot from July 2026; mandatory for large businesses (revenue ≥ AED 50M) from January 2027; mandatory for VAT-registered SMEs from July 2027. Requires an Accredited Service Provider (ASP) — PDF/paper invoices won't qualify once a business is in scope.</w:t>
            </w:r>
          </w:p>
        </w:tc>
        <w:tc>
          <w:tcPr>
            <w:tcW w:type="dxa" w:w="36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ZATCA Fatoora — already mandatory. Phase 2 (integration/clearance model) is rolling out in waves now: invoices must be cleared through ZATCA in real time before delivery to the customer.</w:t>
            </w:r>
          </w:p>
        </w:tc>
      </w:tr>
      <w:tr>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Wage protection</w:t>
            </w:r>
          </w:p>
        </w:tc>
        <w:tc>
          <w:tcPr>
            <w:tcW w:type="dxa" w:w="3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WPS — mandatory for all MOHRE-registered private-sector employers regardless of headcount, via Salary Information Files (SIF) submitted through an approved bank/exchange house.</w:t>
            </w:r>
          </w:p>
        </w:tc>
        <w:tc>
          <w:tcPr>
            <w:tcW w:type="dxa" w:w="362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Mudad — Saudi's equivalent wage protection system, cross-checked against GOSI (social insurance) and Qiwa (contracts/Saudization).</w:t>
            </w:r>
          </w:p>
        </w:tc>
      </w:tr>
      <w:tr>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VAT rate</w:t>
            </w:r>
          </w:p>
        </w:tc>
        <w:tc>
          <w:tcPr>
            <w:tcW w:type="dxa" w:w="3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5%</w:t>
            </w:r>
          </w:p>
        </w:tc>
        <w:tc>
          <w:tcPr>
            <w:tcW w:type="dxa" w:w="36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15%</w:t>
            </w:r>
          </w:p>
        </w:tc>
      </w:tr>
      <w:tr>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Other linked systems</w:t>
            </w:r>
          </w:p>
        </w:tc>
        <w:tc>
          <w:tcPr>
            <w:tcW w:type="dxa" w:w="3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MOHRE (labor), FTA (tax)</w:t>
            </w:r>
          </w:p>
        </w:tc>
        <w:tc>
          <w:tcPr>
            <w:tcW w:type="dxa" w:w="362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GOSI, Qiwa, Nitaqat (Saudization), ZATCA</w:t>
            </w:r>
          </w:p>
        </w:tc>
      </w:tr>
    </w:tbl>
    <w:p>
      <w:pPr>
        <w:spacing w:after="160"/>
      </w:pPr>
      <w:r>
        <w:t xml:space="preserve"> </w:t>
      </w:r>
    </w:p>
    <w:p>
      <w:pPr>
        <w:spacing w:after="120"/>
      </w:pPr>
      <w:r>
        <w:rPr>
          <w:b/>
          <w:bCs/>
        </w:rPr>
        <w:t xml:space="preserve">Key implication for KSA: because ZATCA is already mandatory today rather than a future deadline, any KSA tenant issuing B2B invoices through the platform needs ZATCA-compliant invoicing from day one — this can't be deferred to a later phase the way it can for UAE tenants.</w:t>
      </w:r>
    </w:p>
    <w:p>
      <w:pPr>
        <w:spacing w:after="160"/>
      </w:pPr>
      <w:r>
        <w:t xml:space="preserve">Recommended approach: don't attempt full ASP/ZATCA clearance integration in the very first build — that's a significant integration project in its own right. Instead, design the invoice data model from day one to carry every field a structured e-invoice requires (TRN/VAT number, line-item detail, buyer/seller identifiers, country-specific tax treatment), even while v1 output is still a PDF over WhatsApp. That avoids a costly invoice-schema rewrite when ASP/ZATCA integration is added, and for KSA tenants specifically, it shortens the path to actual compliance.</w:t>
      </w:r>
    </w:p>
    <w:p>
      <w:pPr>
        <w:pStyle w:val="Heading1"/>
      </w:pPr>
      <w:r>
        <w:t xml:space="preserve">7. Competitive Landscape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700"/>
        <w:gridCol w:w="1700"/>
        <w:gridCol w:w="1726"/>
      </w:tblGrid>
      <w:tr>
        <w:tc>
          <w:tcPr>
            <w:tcW w:type="dxa" w:w="24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center"/>
          </w:tcPr>
          <w:p>
            <w:r>
              <w:rPr>
                <w:b/>
                <w:bCs/>
                <w:sz w:val="20"/>
                <w:szCs w:val="20"/>
              </w:rPr>
              <w:t xml:space="preserve">Category</w:t>
            </w:r>
          </w:p>
        </w:tc>
        <w:tc>
          <w:tcPr>
            <w:tcW w:type="dxa" w:w="15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center"/>
          </w:tcPr>
          <w:p>
            <w:r>
              <w:rPr>
                <w:b/>
                <w:bCs/>
                <w:sz w:val="20"/>
                <w:szCs w:val="20"/>
              </w:rPr>
              <w:t xml:space="preserve">Mobile-first?</w:t>
            </w:r>
          </w:p>
        </w:tc>
        <w:tc>
          <w:tcPr>
            <w:tcW w:type="dxa" w:w="17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center"/>
          </w:tcPr>
          <w:p>
            <w:r>
              <w:rPr>
                <w:b/>
                <w:bCs/>
                <w:sz w:val="20"/>
                <w:szCs w:val="20"/>
              </w:rPr>
              <w:t xml:space="preserve">Multi-tenant SaaS for small/mid ops?</w:t>
            </w:r>
          </w:p>
        </w:tc>
        <w:tc>
          <w:tcPr>
            <w:tcW w:type="dxa" w:w="17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center"/>
          </w:tcPr>
          <w:p>
            <w:r>
              <w:rPr>
                <w:b/>
                <w:bCs/>
                <w:sz w:val="20"/>
                <w:szCs w:val="20"/>
              </w:rPr>
              <w:t xml:space="preserve">Handles owned + rented + commission mix?</w:t>
            </w:r>
          </w:p>
        </w:tc>
        <w:tc>
          <w:tcPr>
            <w:tcW w:type="dxa" w:w="1726"/>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center"/>
          </w:tcPr>
          <w:p>
            <w:r>
              <w:rPr>
                <w:b/>
                <w:bCs/>
                <w:sz w:val="20"/>
                <w:szCs w:val="20"/>
              </w:rPr>
              <w:t xml:space="preserve">UAE/KSA compliance-ready?</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Global enterprise telematics
(Samsara, Motive, Fleet Complete, Azuga)</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Partial</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No</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No</w:t>
            </w:r>
          </w:p>
        </w:tc>
        <w:tc>
          <w:tcPr>
            <w:tcW w:type="dxa" w:w="17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No</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Regional transport ERP
(Ramco TMS, Synergiasoft/Syntrack, ePROMIS)</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No (web-first)</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No</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Partial — job costing/commission exists but enterprise-priced</w:t>
            </w:r>
          </w:p>
        </w:tc>
        <w:tc>
          <w:tcPr>
            <w:tcW w:type="dxa" w:w="172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Partial</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Generic fleet/rental software
(Fleetio, RENTALL)</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Partial</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Yes, but generic</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No</w:t>
            </w:r>
          </w:p>
        </w:tc>
        <w:tc>
          <w:tcPr>
            <w:tcW w:type="dxa" w:w="17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No</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Your product (proposed)</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Yes</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Yes</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Yes — purpose-built</w:t>
            </w:r>
          </w:p>
        </w:tc>
        <w:tc>
          <w:tcPr>
            <w:tcW w:type="dxa" w:w="172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Yes — designed in from day one</w:t>
            </w:r>
          </w:p>
        </w:tc>
      </w:tr>
    </w:tbl>
    <w:p>
      <w:pPr>
        <w:spacing w:after="160"/>
      </w:pPr>
      <w:r>
        <w:t xml:space="preserve"> </w:t>
      </w:r>
    </w:p>
    <w:p>
      <w:pPr>
        <w:spacing w:after="160"/>
      </w:pPr>
      <w:r>
        <w:t xml:space="preserve">The gap: an affordable, mobile-first, multi-tenant SaaS purpose-built for the owned/rented/commission hybrid fleet model, with UAE and KSA compliance treated as a core design requirement rather than an afterthought.</w:t>
      </w:r>
    </w:p>
    <w:p>
      <w:pPr>
        <w:pStyle w:val="Heading1"/>
      </w:pPr>
      <w:r>
        <w:t xml:space="preserve">8. Proposed System Architecture</w:t>
      </w:r>
    </w:p>
    <w:p>
      <w:pPr>
        <w:pStyle w:val="Heading3"/>
      </w:pPr>
      <w:r>
        <w:t xml:space="preserve">High-level shape</w:t>
      </w:r>
    </w:p>
    <w:p>
      <w:pPr>
        <w:pStyle w:val="ListParagraph"/>
        <w:numPr>
          <w:ilvl w:val="0"/>
          <w:numId w:val="2"/>
        </w:numPr>
        <w:spacing w:after="80"/>
      </w:pPr>
      <w:r>
        <w:t xml:space="preserve">Mobile app (Flutter, iOS + Android) — primary client for owners, dispatchers, and drivers.</w:t>
      </w:r>
    </w:p>
    <w:p>
      <w:pPr>
        <w:pStyle w:val="ListParagraph"/>
        <w:numPr>
          <w:ilvl w:val="0"/>
          <w:numId w:val="2"/>
        </w:numPr>
        <w:spacing w:after="80"/>
      </w:pPr>
      <w:r>
        <w:t xml:space="preserve">Backend API — see Section 11 for stack options.</w:t>
      </w:r>
    </w:p>
    <w:p>
      <w:pPr>
        <w:pStyle w:val="ListParagraph"/>
        <w:numPr>
          <w:ilvl w:val="0"/>
          <w:numId w:val="2"/>
        </w:numPr>
        <w:spacing w:after="80"/>
      </w:pPr>
      <w:r>
        <w:t xml:space="preserve">PostgreSQL — multi-tenant via shared schema with tenant_id row isolation, RBAC-enforced, audit-logged.</w:t>
      </w:r>
    </w:p>
    <w:p>
      <w:pPr>
        <w:pStyle w:val="ListParagraph"/>
        <w:numPr>
          <w:ilvl w:val="0"/>
          <w:numId w:val="2"/>
        </w:numPr>
        <w:spacing w:after="80"/>
      </w:pPr>
      <w:r>
        <w:t xml:space="preserve">Web admin dashboard — phase 2, for back-office and reporting once the mobile core is proven.</w:t>
      </w:r>
    </w:p>
    <w:p>
      <w:pPr>
        <w:pStyle w:val="Heading3"/>
      </w:pPr>
      <w:r>
        <w:t xml:space="preserve">Multi-tenancy</w:t>
      </w:r>
    </w:p>
    <w:p>
      <w:pPr>
        <w:spacing w:after="160"/>
      </w:pPr>
      <w:r>
        <w:t xml:space="preserve">Shared-schema, tenant_id-isolated rather than a separate database per client. This keeps hosting cost low (relevant given multiple small operators as customers), simplifies your own SaaS operations, and matches the tenant-isolated/RBAC-enforced/audit-logged pattern already proven in your catalog backend project. Row-level security or application-layer tenant scoping enforces isolation between clients.</w:t>
      </w:r>
    </w:p>
    <w:p>
      <w:pPr>
        <w:pStyle w:val="Heading3"/>
      </w:pPr>
      <w:r>
        <w:t xml:space="preserve">Integration layer</w:t>
      </w:r>
    </w:p>
    <w:p>
      <w:pPr>
        <w:spacing w:after="80"/>
      </w:pPr>
      <w:r>
        <w:t xml:space="preserve">Build a thin adapter pattern so that adding a new vendor or country doesn't touch core business logic:</w:t>
      </w:r>
    </w:p>
    <w:p>
      <w:pPr>
        <w:pStyle w:val="ListParagraph"/>
        <w:numPr>
          <w:ilvl w:val="0"/>
          <w:numId w:val="2"/>
        </w:numPr>
        <w:spacing w:after="80"/>
      </w:pPr>
      <w:r>
        <w:t xml:space="preserve">GPS/telematics — adapter per tracker vendor (clients already use different third-party trackers); phone-GPS via the driver app can cover trip tracking in v1 without needing every hardware integration upfront.</w:t>
      </w:r>
    </w:p>
    <w:p>
      <w:pPr>
        <w:pStyle w:val="ListParagraph"/>
        <w:numPr>
          <w:ilvl w:val="0"/>
          <w:numId w:val="2"/>
        </w:numPr>
        <w:spacing w:after="80"/>
      </w:pPr>
      <w:r>
        <w:t xml:space="preserve">WhatsApp Business API — for invoice and document delivery, replacing manual sending.</w:t>
      </w:r>
    </w:p>
    <w:p>
      <w:pPr>
        <w:pStyle w:val="ListParagraph"/>
        <w:numPr>
          <w:ilvl w:val="0"/>
          <w:numId w:val="2"/>
        </w:numPr>
        <w:spacing w:after="80"/>
      </w:pPr>
      <w:r>
        <w:t xml:space="preserve">E-invoicing ASP / ZATCA clearance — added behind the invoice engine once a provider is selected (see Section 6).</w:t>
      </w:r>
    </w:p>
    <w:p>
      <w:pPr>
        <w:pStyle w:val="ListParagraph"/>
        <w:numPr>
          <w:ilvl w:val="0"/>
          <w:numId w:val="2"/>
        </w:numPr>
        <w:spacing w:after="80"/>
      </w:pPr>
      <w:r>
        <w:t xml:space="preserve">WPS (UAE) / Mudad (KSA) — payroll export adapters per country.</w:t>
      </w:r>
    </w:p>
    <w:p>
      <w:pPr>
        <w:pStyle w:val="Heading1"/>
      </w:pPr>
      <w:r>
        <w:t xml:space="preserve">9. Module Breakdown</w:t>
      </w:r>
    </w:p>
    <w:p>
      <w:pPr>
        <w:spacing w:after="160"/>
      </w:pPr>
      <w:r>
        <w:t xml:space="preserve">Thirteen modules, covering the full scope you've chosen for v1. Section 12 lays out the internal build sequence.</w:t>
      </w:r>
    </w:p>
    <w:p>
      <w:pPr>
        <w:pStyle w:val="Heading2"/>
      </w:pPr>
      <w:r>
        <w:t xml:space="preserve">9.1 Fleet &amp; Asset Management</w:t>
      </w:r>
    </w:p>
    <w:p>
      <w:pPr>
        <w:spacing w:after="100"/>
      </w:pPr>
      <w:r>
        <w:rPr>
          <w:i/>
          <w:iCs/>
          <w:color w:val="595959"/>
        </w:rPr>
        <w:t xml:space="preserve">Single registry covering owned, rented-in, and subcontracted vehicles.</w:t>
      </w:r>
    </w:p>
    <w:p>
      <w:pPr>
        <w:pStyle w:val="ListParagraph"/>
        <w:numPr>
          <w:ilvl w:val="0"/>
          <w:numId w:val="2"/>
        </w:numPr>
        <w:spacing w:after="80"/>
      </w:pPr>
      <w:r>
        <w:t xml:space="preserve">Vehicle profile: type, capacity, ownership type, assigned driver(s)</w:t>
      </w:r>
    </w:p>
    <w:p>
      <w:pPr>
        <w:pStyle w:val="ListParagraph"/>
        <w:numPr>
          <w:ilvl w:val="0"/>
          <w:numId w:val="2"/>
        </w:numPr>
        <w:spacing w:after="80"/>
      </w:pPr>
      <w:r>
        <w:t xml:space="preserve">Document expiry tracking: registration (Mulkiya), insurance, inspection — with renewal alerts</w:t>
      </w:r>
    </w:p>
    <w:p>
      <w:pPr>
        <w:pStyle w:val="ListParagraph"/>
        <w:numPr>
          <w:ilvl w:val="0"/>
          <w:numId w:val="2"/>
        </w:numPr>
        <w:spacing w:after="80"/>
      </w:pPr>
      <w:r>
        <w:t xml:space="preserve">Maintenance/service log per vehicle</w:t>
      </w:r>
    </w:p>
    <w:p>
      <w:pPr>
        <w:pStyle w:val="ListParagraph"/>
        <w:numPr>
          <w:ilvl w:val="0"/>
          <w:numId w:val="2"/>
        </w:numPr>
        <w:spacing w:after="80"/>
      </w:pPr>
      <w:r>
        <w:t xml:space="preserve">Vehicle status: available, on job, in maintenance, out of service</w:t>
      </w:r>
    </w:p>
    <w:p>
      <w:pPr>
        <w:pStyle w:val="Heading2"/>
      </w:pPr>
      <w:r>
        <w:t xml:space="preserve">9.2 Driver Management</w:t>
      </w:r>
    </w:p>
    <w:p>
      <w:pPr>
        <w:spacing w:after="100"/>
      </w:pPr>
      <w:r>
        <w:rPr>
          <w:i/>
          <w:iCs/>
          <w:color w:val="595959"/>
        </w:rPr>
        <w:t xml:space="preserve">Covers both company-employed and externally-managed drivers.</w:t>
      </w:r>
    </w:p>
    <w:p>
      <w:pPr>
        <w:pStyle w:val="ListParagraph"/>
        <w:numPr>
          <w:ilvl w:val="0"/>
          <w:numId w:val="2"/>
        </w:numPr>
        <w:spacing w:after="80"/>
      </w:pPr>
      <w:r>
        <w:t xml:space="preserve">Driver profile: license, visa, Emirates ID/Iqama expiry tracking</w:t>
      </w:r>
    </w:p>
    <w:p>
      <w:pPr>
        <w:pStyle w:val="ListParagraph"/>
        <w:numPr>
          <w:ilvl w:val="0"/>
          <w:numId w:val="2"/>
        </w:numPr>
        <w:spacing w:after="80"/>
      </w:pPr>
      <w:r>
        <w:t xml:space="preserve">Employment type flag: company-employed vs. client/contractor-managed</w:t>
      </w:r>
    </w:p>
    <w:p>
      <w:pPr>
        <w:pStyle w:val="ListParagraph"/>
        <w:numPr>
          <w:ilvl w:val="0"/>
          <w:numId w:val="2"/>
        </w:numPr>
        <w:spacing w:after="80"/>
      </w:pPr>
      <w:r>
        <w:t xml:space="preserve">Assignment history and basic performance notes</w:t>
      </w:r>
    </w:p>
    <w:p>
      <w:pPr>
        <w:pStyle w:val="ListParagraph"/>
        <w:numPr>
          <w:ilvl w:val="0"/>
          <w:numId w:val="2"/>
        </w:numPr>
        <w:spacing w:after="80"/>
      </w:pPr>
      <w:r>
        <w:t xml:space="preserve">Document expiry alerts</w:t>
      </w:r>
    </w:p>
    <w:p>
      <w:pPr>
        <w:pStyle w:val="Heading2"/>
      </w:pPr>
      <w:r>
        <w:t xml:space="preserve">9.3 Contract &amp; Customer Management</w:t>
      </w:r>
    </w:p>
    <w:p>
      <w:pPr>
        <w:spacing w:after="100"/>
      </w:pPr>
      <w:r>
        <w:rPr>
          <w:i/>
          <w:iCs/>
          <w:color w:val="595959"/>
        </w:rPr>
        <w:t xml:space="preserve">Tracks the B2B and private clients who request transport.</w:t>
      </w:r>
    </w:p>
    <w:p>
      <w:pPr>
        <w:pStyle w:val="ListParagraph"/>
        <w:numPr>
          <w:ilvl w:val="0"/>
          <w:numId w:val="2"/>
        </w:numPr>
        <w:spacing w:after="80"/>
      </w:pPr>
      <w:r>
        <w:t xml:space="preserve">Customer profile with contract type (private/ad-hoc, recurring B2B, formal/government)</w:t>
      </w:r>
    </w:p>
    <w:p>
      <w:pPr>
        <w:pStyle w:val="ListParagraph"/>
        <w:numPr>
          <w:ilvl w:val="0"/>
          <w:numId w:val="2"/>
        </w:numPr>
        <w:spacing w:after="80"/>
      </w:pPr>
      <w:r>
        <w:t xml:space="preserve">Rate cards per customer or per contract</w:t>
      </w:r>
    </w:p>
    <w:p>
      <w:pPr>
        <w:pStyle w:val="ListParagraph"/>
        <w:numPr>
          <w:ilvl w:val="0"/>
          <w:numId w:val="2"/>
        </w:numPr>
        <w:spacing w:after="80"/>
      </w:pPr>
      <w:r>
        <w:t xml:space="preserve">Contract terms: duration, overtime rules, billing cycle</w:t>
      </w:r>
    </w:p>
    <w:p>
      <w:pPr>
        <w:pStyle w:val="Heading2"/>
      </w:pPr>
      <w:r>
        <w:t xml:space="preserve">9.4 Trip / Job Dispatch &amp; Assignment</w:t>
      </w:r>
    </w:p>
    <w:p>
      <w:pPr>
        <w:spacing w:after="100"/>
      </w:pPr>
      <w:r>
        <w:rPr>
          <w:i/>
          <w:iCs/>
          <w:color w:val="595959"/>
        </w:rPr>
        <w:t xml:space="preserve">The operational core — assigning vehicles and drivers to jobs.</w:t>
      </w:r>
    </w:p>
    <w:p>
      <w:pPr>
        <w:pStyle w:val="ListParagraph"/>
        <w:numPr>
          <w:ilvl w:val="0"/>
          <w:numId w:val="2"/>
        </w:numPr>
        <w:spacing w:after="80"/>
      </w:pPr>
      <w:r>
        <w:t xml:space="preserve">Ad-hoc and recurring job creation</w:t>
      </w:r>
    </w:p>
    <w:p>
      <w:pPr>
        <w:pStyle w:val="ListParagraph"/>
        <w:numPr>
          <w:ilvl w:val="0"/>
          <w:numId w:val="2"/>
        </w:numPr>
        <w:spacing w:after="80"/>
      </w:pPr>
      <w:r>
        <w:t xml:space="preserve">Assignment logic aware of vehicle sourcing type (owned/rented/subcontracted)</w:t>
      </w:r>
    </w:p>
    <w:p>
      <w:pPr>
        <w:pStyle w:val="ListParagraph"/>
        <w:numPr>
          <w:ilvl w:val="0"/>
          <w:numId w:val="2"/>
        </w:numPr>
        <w:spacing w:after="80"/>
      </w:pPr>
      <w:r>
        <w:t xml:space="preserve">Automatic commission/margin calculation for subcontracted vehicle jobs</w:t>
      </w:r>
    </w:p>
    <w:p>
      <w:pPr>
        <w:pStyle w:val="ListParagraph"/>
        <w:numPr>
          <w:ilvl w:val="0"/>
          <w:numId w:val="2"/>
        </w:numPr>
        <w:spacing w:after="80"/>
      </w:pPr>
      <w:r>
        <w:t xml:space="preserve">Job status tracking: requested, assigned, in progress, completed, invoiced</w:t>
      </w:r>
    </w:p>
    <w:p>
      <w:pPr>
        <w:pStyle w:val="Heading2"/>
      </w:pPr>
      <w:r>
        <w:t xml:space="preserve">9.5 Driver Mobile App / Trip Flow</w:t>
      </w:r>
    </w:p>
    <w:p>
      <w:pPr>
        <w:spacing w:after="100"/>
      </w:pPr>
      <w:r>
        <w:rPr>
          <w:i/>
          <w:iCs/>
          <w:color w:val="595959"/>
        </w:rPr>
        <w:t xml:space="preserve">Lightweight mobile flow so trip data is captured at the source instead of after the fact.</w:t>
      </w:r>
    </w:p>
    <w:p>
      <w:pPr>
        <w:pStyle w:val="ListParagraph"/>
        <w:numPr>
          <w:ilvl w:val="0"/>
          <w:numId w:val="2"/>
        </w:numPr>
        <w:spacing w:after="80"/>
      </w:pPr>
      <w:r>
        <w:t xml:space="preserve">Trip check-in / check-out with odometer entry</w:t>
      </w:r>
    </w:p>
    <w:p>
      <w:pPr>
        <w:pStyle w:val="ListParagraph"/>
        <w:numPr>
          <w:ilvl w:val="0"/>
          <w:numId w:val="2"/>
        </w:numPr>
        <w:spacing w:after="80"/>
      </w:pPr>
      <w:r>
        <w:t xml:space="preserve">Overtime logging</w:t>
      </w:r>
    </w:p>
    <w:p>
      <w:pPr>
        <w:pStyle w:val="ListParagraph"/>
        <w:numPr>
          <w:ilvl w:val="0"/>
          <w:numId w:val="2"/>
        </w:numPr>
        <w:spacing w:after="80"/>
      </w:pPr>
      <w:r>
        <w:t xml:space="preserve">Phone-GPS location ping during active trips</w:t>
      </w:r>
    </w:p>
    <w:p>
      <w:pPr>
        <w:pStyle w:val="ListParagraph"/>
        <w:numPr>
          <w:ilvl w:val="0"/>
          <w:numId w:val="2"/>
        </w:numPr>
        <w:spacing w:after="80"/>
      </w:pPr>
      <w:r>
        <w:t xml:space="preserve">Simple status updates back to dispatch</w:t>
      </w:r>
    </w:p>
    <w:p>
      <w:pPr>
        <w:pStyle w:val="Heading2"/>
      </w:pPr>
      <w:r>
        <w:t xml:space="preserve">9.6 GPS &amp; Telematics Integration Layer</w:t>
      </w:r>
    </w:p>
    <w:p>
      <w:pPr>
        <w:spacing w:after="100"/>
      </w:pPr>
      <w:r>
        <w:rPr>
          <w:i/>
          <w:iCs/>
          <w:color w:val="595959"/>
        </w:rPr>
        <w:t xml:space="preserve">Consolidates whatever third-party trackers each client already has installed.</w:t>
      </w:r>
    </w:p>
    <w:p>
      <w:pPr>
        <w:pStyle w:val="ListParagraph"/>
        <w:numPr>
          <w:ilvl w:val="0"/>
          <w:numId w:val="2"/>
        </w:numPr>
        <w:spacing w:after="80"/>
      </w:pPr>
      <w:r>
        <w:t xml:space="preserve">Adapter framework per GPS vendor/API</w:t>
      </w:r>
    </w:p>
    <w:p>
      <w:pPr>
        <w:pStyle w:val="ListParagraph"/>
        <w:numPr>
          <w:ilvl w:val="0"/>
          <w:numId w:val="2"/>
        </w:numPr>
        <w:spacing w:after="80"/>
      </w:pPr>
      <w:r>
        <w:t xml:space="preserve">Unified live map view across vehicles regardless of tracker brand</w:t>
      </w:r>
    </w:p>
    <w:p>
      <w:pPr>
        <w:pStyle w:val="ListParagraph"/>
        <w:numPr>
          <w:ilvl w:val="0"/>
          <w:numId w:val="2"/>
        </w:numPr>
        <w:spacing w:after="80"/>
      </w:pPr>
      <w:r>
        <w:t xml:space="preserve">Fallback to phone-GPS trip pings where no hardware tracker exists</w:t>
      </w:r>
    </w:p>
    <w:p>
      <w:pPr>
        <w:pStyle w:val="Heading2"/>
      </w:pPr>
      <w:r>
        <w:t xml:space="preserve">9.7 Invoicing &amp; Billing</w:t>
      </w:r>
    </w:p>
    <w:p>
      <w:pPr>
        <w:spacing w:after="100"/>
      </w:pPr>
      <w:r>
        <w:rPr>
          <w:i/>
          <w:iCs/>
          <w:color w:val="595959"/>
        </w:rPr>
        <w:t xml:space="preserve">Replaces the manual letterhead-and-WhatsApp workflow.</w:t>
      </w:r>
    </w:p>
    <w:p>
      <w:pPr>
        <w:pStyle w:val="ListParagraph"/>
        <w:numPr>
          <w:ilvl w:val="0"/>
          <w:numId w:val="2"/>
        </w:numPr>
        <w:spacing w:after="80"/>
      </w:pPr>
      <w:r>
        <w:t xml:space="preserve">Digital letterhead templates per tenant</w:t>
      </w:r>
    </w:p>
    <w:p>
      <w:pPr>
        <w:pStyle w:val="ListParagraph"/>
        <w:numPr>
          <w:ilvl w:val="0"/>
          <w:numId w:val="2"/>
        </w:numPr>
        <w:spacing w:after="80"/>
      </w:pPr>
      <w:r>
        <w:t xml:space="preserve">VAT calculation, multi-currency (AED/SAR), tenant-configurable by country</w:t>
      </w:r>
    </w:p>
    <w:p>
      <w:pPr>
        <w:pStyle w:val="ListParagraph"/>
        <w:numPr>
          <w:ilvl w:val="0"/>
          <w:numId w:val="2"/>
        </w:numPr>
        <w:spacing w:after="80"/>
      </w:pPr>
      <w:r>
        <w:t xml:space="preserve">Invoice data model built for e-invoicing readiness (see Section 6)</w:t>
      </w:r>
    </w:p>
    <w:p>
      <w:pPr>
        <w:pStyle w:val="ListParagraph"/>
        <w:numPr>
          <w:ilvl w:val="0"/>
          <w:numId w:val="2"/>
        </w:numPr>
        <w:spacing w:after="80"/>
      </w:pPr>
      <w:r>
        <w:t xml:space="preserve">WhatsApp Business API delivery</w:t>
      </w:r>
    </w:p>
    <w:p>
      <w:pPr>
        <w:pStyle w:val="ListParagraph"/>
        <w:numPr>
          <w:ilvl w:val="0"/>
          <w:numId w:val="2"/>
        </w:numPr>
        <w:spacing w:after="80"/>
      </w:pPr>
      <w:r>
        <w:t xml:space="preserve">Payment status tracking and reminders</w:t>
      </w:r>
    </w:p>
    <w:p>
      <w:pPr>
        <w:pStyle w:val="Heading2"/>
      </w:pPr>
      <w:r>
        <w:t xml:space="preserve">9.8 Commission &amp; Third-Party Payouts</w:t>
      </w:r>
    </w:p>
    <w:p>
      <w:pPr>
        <w:spacing w:after="100"/>
      </w:pPr>
      <w:r>
        <w:rPr>
          <w:i/>
          <w:iCs/>
          <w:color w:val="595959"/>
        </w:rPr>
        <w:t xml:space="preserve">Tracks what's owed to subcontracted vehicle owners and the margin earned.</w:t>
      </w:r>
    </w:p>
    <w:p>
      <w:pPr>
        <w:pStyle w:val="ListParagraph"/>
        <w:numPr>
          <w:ilvl w:val="0"/>
          <w:numId w:val="2"/>
        </w:numPr>
        <w:spacing w:after="80"/>
      </w:pPr>
      <w:r>
        <w:t xml:space="preserve">Commission rules per third-party vendor or per job</w:t>
      </w:r>
    </w:p>
    <w:p>
      <w:pPr>
        <w:pStyle w:val="ListParagraph"/>
        <w:numPr>
          <w:ilvl w:val="0"/>
          <w:numId w:val="2"/>
        </w:numPr>
        <w:spacing w:after="80"/>
      </w:pPr>
      <w:r>
        <w:t xml:space="preserve">Payout tracking and statements for third-party vehicle owners</w:t>
      </w:r>
    </w:p>
    <w:p>
      <w:pPr>
        <w:pStyle w:val="ListParagraph"/>
        <w:numPr>
          <w:ilvl w:val="0"/>
          <w:numId w:val="2"/>
        </w:numPr>
        <w:spacing w:after="80"/>
      </w:pPr>
      <w:r>
        <w:t xml:space="preserve">Margin reporting per job and per vendor</w:t>
      </w:r>
    </w:p>
    <w:p>
      <w:pPr>
        <w:pStyle w:val="Heading2"/>
      </w:pPr>
      <w:r>
        <w:t xml:space="preserve">9.9 HR &amp; Payroll</w:t>
      </w:r>
    </w:p>
    <w:p>
      <w:pPr>
        <w:spacing w:after="100"/>
      </w:pPr>
      <w:r>
        <w:rPr>
          <w:i/>
          <w:iCs/>
          <w:color w:val="595959"/>
        </w:rPr>
        <w:t xml:space="preserve">Covers company-employed drivers and other staff.</w:t>
      </w:r>
    </w:p>
    <w:p>
      <w:pPr>
        <w:pStyle w:val="ListParagraph"/>
        <w:numPr>
          <w:ilvl w:val="0"/>
          <w:numId w:val="2"/>
        </w:numPr>
        <w:spacing w:after="80"/>
      </w:pPr>
      <w:r>
        <w:t xml:space="preserve">Salary structure, overtime, leave</w:t>
      </w:r>
    </w:p>
    <w:p>
      <w:pPr>
        <w:pStyle w:val="ListParagraph"/>
        <w:numPr>
          <w:ilvl w:val="0"/>
          <w:numId w:val="2"/>
        </w:numPr>
        <w:spacing w:after="80"/>
      </w:pPr>
      <w:r>
        <w:t xml:space="preserve">WPS-SIF export (UAE) / Mudad-compatible export (KSA)</w:t>
      </w:r>
    </w:p>
    <w:p>
      <w:pPr>
        <w:pStyle w:val="ListParagraph"/>
        <w:numPr>
          <w:ilvl w:val="0"/>
          <w:numId w:val="2"/>
        </w:numPr>
        <w:spacing w:after="80"/>
      </w:pPr>
      <w:r>
        <w:t xml:space="preserve">Document and contract expiry tracking</w:t>
      </w:r>
    </w:p>
    <w:p>
      <w:pPr>
        <w:pStyle w:val="Heading2"/>
      </w:pPr>
      <w:r>
        <w:t xml:space="preserve">9.10 Accounting &amp; Financial Reporting</w:t>
      </w:r>
    </w:p>
    <w:p>
      <w:pPr>
        <w:spacing w:after="100"/>
      </w:pPr>
      <w:r>
        <w:rPr>
          <w:i/>
          <w:iCs/>
          <w:color w:val="595959"/>
        </w:rPr>
        <w:t xml:space="preserve">Ties invoicing, commission, and payroll together into a financial picture.</w:t>
      </w:r>
    </w:p>
    <w:p>
      <w:pPr>
        <w:pStyle w:val="ListParagraph"/>
        <w:numPr>
          <w:ilvl w:val="0"/>
          <w:numId w:val="2"/>
        </w:numPr>
        <w:spacing w:after="80"/>
      </w:pPr>
      <w:r>
        <w:t xml:space="preserve">Income/expense tracking</w:t>
      </w:r>
    </w:p>
    <w:p>
      <w:pPr>
        <w:pStyle w:val="ListParagraph"/>
        <w:numPr>
          <w:ilvl w:val="0"/>
          <w:numId w:val="2"/>
        </w:numPr>
        <w:spacing w:after="80"/>
      </w:pPr>
      <w:r>
        <w:t xml:space="preserve">Profit per vehicle, margin per contract</w:t>
      </w:r>
    </w:p>
    <w:p>
      <w:pPr>
        <w:pStyle w:val="ListParagraph"/>
        <w:numPr>
          <w:ilvl w:val="0"/>
          <w:numId w:val="2"/>
        </w:numPr>
        <w:spacing w:after="80"/>
      </w:pPr>
      <w:r>
        <w:t xml:space="preserve">Owner-facing financial dashboard</w:t>
      </w:r>
    </w:p>
    <w:p>
      <w:pPr>
        <w:pStyle w:val="Heading2"/>
      </w:pPr>
      <w:r>
        <w:t xml:space="preserve">9.11 Multi-Tenant SaaS Administration</w:t>
      </w:r>
    </w:p>
    <w:p>
      <w:pPr>
        <w:spacing w:after="100"/>
      </w:pPr>
      <w:r>
        <w:rPr>
          <w:i/>
          <w:iCs/>
          <w:color w:val="595959"/>
        </w:rPr>
        <w:t xml:space="preserve">Your own layer for running this as a SaaS business across multiple clients.</w:t>
      </w:r>
    </w:p>
    <w:p>
      <w:pPr>
        <w:pStyle w:val="ListParagraph"/>
        <w:numPr>
          <w:ilvl w:val="0"/>
          <w:numId w:val="2"/>
        </w:numPr>
        <w:spacing w:after="80"/>
      </w:pPr>
      <w:r>
        <w:t xml:space="preserve">Tenant onboarding and configuration (country, currency, VAT settings)</w:t>
      </w:r>
    </w:p>
    <w:p>
      <w:pPr>
        <w:pStyle w:val="ListParagraph"/>
        <w:numPr>
          <w:ilvl w:val="0"/>
          <w:numId w:val="2"/>
        </w:numPr>
        <w:spacing w:after="80"/>
      </w:pPr>
      <w:r>
        <w:t xml:space="preserve">Subscription/billing for your own SaaS revenue</w:t>
      </w:r>
    </w:p>
    <w:p>
      <w:pPr>
        <w:pStyle w:val="ListParagraph"/>
        <w:numPr>
          <w:ilvl w:val="0"/>
          <w:numId w:val="2"/>
        </w:numPr>
        <w:spacing w:after="80"/>
      </w:pPr>
      <w:r>
        <w:t xml:space="preserve">Role-based access control and audit log per tenant</w:t>
      </w:r>
    </w:p>
    <w:p>
      <w:pPr>
        <w:pStyle w:val="Heading2"/>
      </w:pPr>
      <w:r>
        <w:t xml:space="preserve">9.12 Notifications &amp; Alerts</w:t>
      </w:r>
    </w:p>
    <w:p>
      <w:pPr>
        <w:spacing w:after="100"/>
      </w:pPr>
      <w:r>
        <w:rPr>
          <w:i/>
          <w:iCs/>
          <w:color w:val="595959"/>
        </w:rPr>
        <w:t xml:space="preserve">Keeps document expiries, payments, and trips from falling through the cracks.</w:t>
      </w:r>
    </w:p>
    <w:p>
      <w:pPr>
        <w:pStyle w:val="ListParagraph"/>
        <w:numPr>
          <w:ilvl w:val="0"/>
          <w:numId w:val="2"/>
        </w:numPr>
        <w:spacing w:after="80"/>
      </w:pPr>
      <w:r>
        <w:t xml:space="preserve">Document expiry alerts (vehicle and driver)</w:t>
      </w:r>
    </w:p>
    <w:p>
      <w:pPr>
        <w:pStyle w:val="ListParagraph"/>
        <w:numPr>
          <w:ilvl w:val="0"/>
          <w:numId w:val="2"/>
        </w:numPr>
        <w:spacing w:after="80"/>
      </w:pPr>
      <w:r>
        <w:t xml:space="preserve">Payment due reminders</w:t>
      </w:r>
    </w:p>
    <w:p>
      <w:pPr>
        <w:pStyle w:val="ListParagraph"/>
        <w:numPr>
          <w:ilvl w:val="0"/>
          <w:numId w:val="2"/>
        </w:numPr>
        <w:spacing w:after="80"/>
      </w:pPr>
      <w:r>
        <w:t xml:space="preserve">Trip status alerts</w:t>
      </w:r>
    </w:p>
    <w:p>
      <w:pPr>
        <w:pStyle w:val="ListParagraph"/>
        <w:numPr>
          <w:ilvl w:val="0"/>
          <w:numId w:val="2"/>
        </w:numPr>
        <w:spacing w:after="80"/>
      </w:pPr>
      <w:r>
        <w:t xml:space="preserve">Delivered via push notification and/or WhatsApp</w:t>
      </w:r>
    </w:p>
    <w:p>
      <w:pPr>
        <w:pStyle w:val="Heading2"/>
      </w:pPr>
      <w:r>
        <w:t xml:space="preserve">9.13 Reporting &amp; Analytics Dashboard</w:t>
      </w:r>
    </w:p>
    <w:p>
      <w:pPr>
        <w:spacing w:after="100"/>
      </w:pPr>
      <w:r>
        <w:rPr>
          <w:i/>
          <w:iCs/>
          <w:color w:val="595959"/>
        </w:rPr>
        <w:t xml:space="preserve">Turns the operational data into decisions.</w:t>
      </w:r>
    </w:p>
    <w:p>
      <w:pPr>
        <w:pStyle w:val="ListParagraph"/>
        <w:numPr>
          <w:ilvl w:val="0"/>
          <w:numId w:val="2"/>
        </w:numPr>
        <w:spacing w:after="80"/>
      </w:pPr>
      <w:r>
        <w:t xml:space="preserve">Fleet utilization by sourcing type</w:t>
      </w:r>
    </w:p>
    <w:p>
      <w:pPr>
        <w:pStyle w:val="ListParagraph"/>
        <w:numPr>
          <w:ilvl w:val="0"/>
          <w:numId w:val="2"/>
        </w:numPr>
        <w:spacing w:after="80"/>
      </w:pPr>
      <w:r>
        <w:t xml:space="preserve">Profitability per vehicle and per contract</w:t>
      </w:r>
    </w:p>
    <w:p>
      <w:pPr>
        <w:pStyle w:val="ListParagraph"/>
        <w:numPr>
          <w:ilvl w:val="0"/>
          <w:numId w:val="2"/>
        </w:numPr>
        <w:spacing w:after="80"/>
      </w:pPr>
      <w:r>
        <w:t xml:space="preserve">Commission earned over time</w:t>
      </w:r>
    </w:p>
    <w:p>
      <w:pPr>
        <w:pStyle w:val="ListParagraph"/>
        <w:numPr>
          <w:ilvl w:val="0"/>
          <w:numId w:val="2"/>
        </w:numPr>
        <w:spacing w:after="80"/>
      </w:pPr>
      <w:r>
        <w:t xml:space="preserve">Driver and vehicle performance views</w:t>
      </w:r>
    </w:p>
    <w:p>
      <w:pPr>
        <w:pStyle w:val="Heading1"/>
      </w:pPr>
      <w:r>
        <w:t xml:space="preserve">10. User Roles &amp;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center"/>
          </w:tcPr>
          <w:p>
            <w:r>
              <w:rPr>
                <w:b/>
                <w:bCs/>
                <w:sz w:val="20"/>
                <w:szCs w:val="20"/>
              </w:rPr>
              <w:t xml:space="preserve">Role</w:t>
            </w:r>
          </w:p>
        </w:tc>
        <w:tc>
          <w:tcPr>
            <w:tcW w:type="dxa" w:w="6826"/>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center"/>
          </w:tcPr>
          <w:p>
            <w:r>
              <w:rPr>
                <w:b/>
                <w:bCs/>
                <w:sz w:val="20"/>
                <w:szCs w:val="20"/>
              </w:rPr>
              <w:t xml:space="preserve">Access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Owner / Admin</w:t>
            </w:r>
          </w:p>
        </w:tc>
        <w:tc>
          <w:tcPr>
            <w:tcW w:type="dxa" w:w="68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Full access to all modules across their tenant</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Dispatcher</w:t>
            </w:r>
          </w:p>
        </w:tc>
        <w:tc>
          <w:tcPr>
            <w:tcW w:type="dxa" w:w="682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Fleet, drivers, trips/jobs — no finance or HR access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Accountant</w:t>
            </w:r>
          </w:p>
        </w:tc>
        <w:tc>
          <w:tcPr>
            <w:tcW w:type="dxa" w:w="68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Invoicing, commission, HR/payroll, financial reporting — no fleet/trip editing</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Driver</w:t>
            </w:r>
          </w:p>
        </w:tc>
        <w:tc>
          <w:tcPr>
            <w:tcW w:type="dxa" w:w="682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Mobile app only: own trip flow, own profile/documents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Platform Super Admin</w:t>
            </w:r>
          </w:p>
        </w:tc>
        <w:tc>
          <w:tcPr>
            <w:tcW w:type="dxa" w:w="68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Tenant management and platform health — no access to a tenant's operational or financial data</w:t>
            </w:r>
          </w:p>
        </w:tc>
      </w:tr>
    </w:tbl>
    <w:p>
      <w:pPr>
        <w:pStyle w:val="Heading1"/>
      </w:pPr>
      <w:r>
        <w:t xml:space="preserve">11. Technology Stack Options</w:t>
      </w:r>
    </w:p>
    <w:p>
      <w:pPr>
        <w:spacing w:after="120"/>
      </w:pPr>
      <w:r>
        <w:t xml:space="preserve">You've held off on this decision — here's a side-by-side to help when you're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center"/>
          </w:tcPr>
          <w:p>
            <w:r>
              <w:rPr>
                <w:b/>
                <w:bCs/>
                <w:sz w:val="20"/>
                <w:szCs w:val="20"/>
              </w:rPr>
              <w:t xml:space="preserve">Factor</w:t>
            </w:r>
          </w:p>
        </w:tc>
        <w:tc>
          <w:tcPr>
            <w:tcW w:type="dxa" w:w="3313"/>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center"/>
          </w:tcPr>
          <w:p>
            <w:r>
              <w:rPr>
                <w:b/>
                <w:bCs/>
                <w:sz w:val="20"/>
                <w:szCs w:val="20"/>
              </w:rPr>
              <w:t xml:space="preserve">Rust (Axum + SeaORM)</w:t>
            </w:r>
          </w:p>
        </w:tc>
        <w:tc>
          <w:tcPr>
            <w:tcW w:type="dxa" w:w="3313"/>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center"/>
          </w:tcPr>
          <w:p>
            <w:r>
              <w:rPr>
                <w:b/>
                <w:bCs/>
                <w:sz w:val="20"/>
                <w:szCs w:val="20"/>
              </w:rPr>
              <w:t xml:space="preserve">.NET 8</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Fit with your experience</w:t>
            </w:r>
          </w:p>
        </w:tc>
        <w:tc>
          <w:tcPr>
            <w:tcW w:type="dxa" w:w="3313"/>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Direct reuse of your tenant-isolated, RBAC-enforced, audit-logged catalog backend pattern</w:t>
            </w:r>
          </w:p>
        </w:tc>
        <w:tc>
          <w:tcPr>
            <w:tcW w:type="dxa" w:w="3313"/>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Familiar from client projects; large ecosystem</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Invoicing / PDF / e-invoicing XML support</w:t>
            </w:r>
          </w:p>
        </w:tc>
        <w:tc>
          <w:tcPr>
            <w:tcW w:type="dxa" w:w="3313"/>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Fewer mature libraries; more custom work for Peppol/UBL XML generation</w:t>
            </w:r>
          </w:p>
        </w:tc>
        <w:tc>
          <w:tcPr>
            <w:tcW w:type="dxa" w:w="3313"/>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Mature PDF and XML tooling; faster to build ASP/ZATCA integrations later</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Hiring / team scaling</w:t>
            </w:r>
          </w:p>
        </w:tc>
        <w:tc>
          <w:tcPr>
            <w:tcW w:type="dxa" w:w="3313"/>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Smaller talent pool if you bring in other devs later</w:t>
            </w:r>
          </w:p>
        </w:tc>
        <w:tc>
          <w:tcPr>
            <w:tcW w:type="dxa" w:w="3313"/>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Easier to find developers, including within your own agency network</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Hosting cost / performance</w:t>
            </w:r>
          </w:p>
        </w:tc>
        <w:tc>
          <w:tcPr>
            <w:tcW w:type="dxa" w:w="3313"/>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Lower memory footprint, cheaper at scale</w:t>
            </w:r>
          </w:p>
        </w:tc>
        <w:tc>
          <w:tcPr>
            <w:tcW w:type="dxa" w:w="3313"/>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Higher baseline resource use, but very manageable at this scale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Time-to-MVP</w:t>
            </w:r>
          </w:p>
        </w:tc>
        <w:tc>
          <w:tcPr>
            <w:tcW w:type="dxa" w:w="3313"/>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Slower for invoicing-heavy features given library gaps</w:t>
            </w:r>
          </w:p>
        </w:tc>
        <w:tc>
          <w:tcPr>
            <w:tcW w:type="dxa" w:w="3313"/>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Likely faster given mature invoicing/reporting libraries</w:t>
            </w:r>
          </w:p>
        </w:tc>
      </w:tr>
    </w:tbl>
    <w:p>
      <w:pPr>
        <w:spacing w:after="160"/>
      </w:pPr>
      <w:r>
        <w:t xml:space="preserve"> </w:t>
      </w:r>
    </w:p>
    <w:p>
      <w:pPr>
        <w:spacing w:after="160"/>
      </w:pPr>
      <w:r>
        <w:t xml:space="preserve">Mobile: Flutter for both iOS and Android, consistent with your mobile-first goal and existing Flutter experience.</w:t>
      </w:r>
    </w:p>
    <w:p>
      <w:pPr>
        <w:spacing w:after="160"/>
      </w:pPr>
      <w:r>
        <w:t xml:space="preserve">Rough guidance: lean Rust if you want to directly extend your existing multi-tenant backend and prioritize long-term hosting cost; lean .NET 8 if speed-to-market on the invoicing/compliance side matters more, given the e-invoicing deadlines in Section 6.</w:t>
      </w:r>
    </w:p>
    <w:p>
      <w:pPr>
        <w:pStyle w:val="Heading1"/>
      </w:pPr>
      <w:r>
        <w:t xml:space="preserve">12. Build Roadmap</w:t>
      </w:r>
    </w:p>
    <w:p>
      <w:pPr>
        <w:spacing w:after="120"/>
      </w:pPr>
      <w:r>
        <w:t xml:space="preserve">V1 is broad in scope by your choice, but it still needs an internal build order to manage risk — the same wave-based approach you used for the catalog backend project applies well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26"/>
      </w:tblGrid>
      <w:tr>
        <w:tc>
          <w:tcPr>
            <w:tcW w:type="dxa" w:w="14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center"/>
          </w:tcPr>
          <w:p>
            <w:r>
              <w:rPr>
                <w:b/>
                <w:bCs/>
                <w:sz w:val="20"/>
                <w:szCs w:val="20"/>
              </w:rPr>
              <w:t xml:space="preserve">Wave</w:t>
            </w:r>
          </w:p>
        </w:tc>
        <w:tc>
          <w:tcPr>
            <w:tcW w:type="dxa" w:w="18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center"/>
          </w:tcPr>
          <w:p>
            <w:r>
              <w:rPr>
                <w:b/>
                <w:bCs/>
                <w:sz w:val="20"/>
                <w:szCs w:val="20"/>
              </w:rPr>
              <w:t xml:space="preserve">Duration (approx.)</w:t>
            </w:r>
          </w:p>
        </w:tc>
        <w:tc>
          <w:tcPr>
            <w:tcW w:type="dxa" w:w="5826"/>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center"/>
          </w:tcPr>
          <w:p>
            <w:r>
              <w:rPr>
                <w:b/>
                <w:bCs/>
                <w:sz w:val="20"/>
                <w:szCs w:val="20"/>
              </w:rPr>
              <w:t xml:space="preserve">Scope</w:t>
            </w:r>
          </w:p>
        </w:tc>
      </w:tr>
      <w:tr>
        <w:tc>
          <w:tcPr>
            <w:tcW w:type="dxa" w:w="1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Wave 1 — Foundation</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3–4 weeks</w:t>
            </w:r>
          </w:p>
        </w:tc>
        <w:tc>
          <w:tcPr>
            <w:tcW w:type="dxa" w:w="58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Multi-tenant infrastructure, auth/RBAC, Fleet, Driver, Customer/Contract modules</w:t>
            </w:r>
          </w:p>
        </w:tc>
      </w:tr>
      <w:tr>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Wave 2 — Operations</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3–4 weeks</w:t>
            </w:r>
          </w:p>
        </w:tc>
        <w:tc>
          <w:tcPr>
            <w:tcW w:type="dxa" w:w="582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Trip/Job dispatch, commission engine, Driver mobile app (trip flow)</w:t>
            </w:r>
          </w:p>
        </w:tc>
      </w:tr>
      <w:tr>
        <w:tc>
          <w:tcPr>
            <w:tcW w:type="dxa" w:w="1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Wave 3 — Finance</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3–4 weeks</w:t>
            </w:r>
          </w:p>
        </w:tc>
        <w:tc>
          <w:tcPr>
            <w:tcW w:type="dxa" w:w="58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Invoicing &amp; billing, Accounting, HR/payroll incl. WPS/Mudad export</w:t>
            </w:r>
          </w:p>
        </w:tc>
      </w:tr>
      <w:tr>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Wave 4 — Intelligence &amp; Integration</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3–4 weeks</w:t>
            </w:r>
          </w:p>
        </w:tc>
        <w:tc>
          <w:tcPr>
            <w:tcW w:type="dxa" w:w="582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GPS/telematics integration layer, Notifications, Reporting dashboard, e-invoicing readiness</w:t>
            </w:r>
          </w:p>
        </w:tc>
      </w:tr>
    </w:tbl>
    <w:p>
      <w:pPr>
        <w:spacing w:after="160"/>
      </w:pPr>
      <w:r>
        <w:t xml:space="preserve"> </w:t>
      </w:r>
    </w:p>
    <w:p>
      <w:pPr>
        <w:spacing w:after="160"/>
      </w:pPr>
      <w:r>
        <w:t xml:space="preserve">Total: roughly 12–16 weeks for the full v1 scope, in line with the timeline range you used for the marriage hall management system. KSA ZATCA clearance integration (see Section 6) may need to be pulled earlier than Wave 4 if a KSA tenant is onboarded before that wave completes.</w:t>
      </w:r>
    </w:p>
    <w:p>
      <w:pPr>
        <w:pStyle w:val="Heading1"/>
      </w:pPr>
      <w:r>
        <w:t xml:space="preserve">13. Suggested SaaS Pricing Model</w:t>
      </w:r>
    </w:p>
    <w:p>
      <w:pPr>
        <w:spacing w:after="100"/>
      </w:pPr>
      <w:r>
        <w:t xml:space="preserve">A starting point for how you might price this as a SaaS product across your client base — separate from how your client prices their own transport services.</w:t>
      </w:r>
    </w:p>
    <w:p>
      <w:pPr>
        <w:pStyle w:val="ListParagraph"/>
        <w:numPr>
          <w:ilvl w:val="0"/>
          <w:numId w:val="2"/>
        </w:numPr>
        <w:spacing w:after="80"/>
      </w:pPr>
      <w:r>
        <w:t xml:space="preserve">Starter — up to 10 vehicles, core ops (fleet, contracts, dispatch, invoicing)</w:t>
      </w:r>
    </w:p>
    <w:p>
      <w:pPr>
        <w:pStyle w:val="ListParagraph"/>
        <w:numPr>
          <w:ilvl w:val="0"/>
          <w:numId w:val="2"/>
        </w:numPr>
        <w:spacing w:after="80"/>
      </w:pPr>
      <w:r>
        <w:t xml:space="preserve">Growth — up to 50 vehicles, adds HR/payroll, commission tracking, GPS integration</w:t>
      </w:r>
    </w:p>
    <w:p>
      <w:pPr>
        <w:pStyle w:val="ListParagraph"/>
        <w:numPr>
          <w:ilvl w:val="0"/>
          <w:numId w:val="2"/>
        </w:numPr>
        <w:spacing w:after="80"/>
      </w:pPr>
      <w:r>
        <w:t xml:space="preserve">Enterprise — unlimited vehicles, adds e-invoicing/ASP integration, multi-branch support, dedicated support</w:t>
      </w:r>
    </w:p>
    <w:p>
      <w:pPr>
        <w:spacing w:after="160"/>
      </w:pPr>
      <w:r>
        <w:t xml:space="preserve">Pricing per tier can be flat-monthly-per-tenant, per-vehicle, or a hybrid — worth testing with your first 2–3 clients before locking in a model.</w:t>
      </w:r>
    </w:p>
    <w:p>
      <w:pPr>
        <w:pStyle w:val="Heading1"/>
      </w:pPr>
      <w:r>
        <w:t xml:space="preserve">14. Risks &amp; Open Decisions</w:t>
      </w:r>
    </w:p>
    <w:p>
      <w:pPr>
        <w:pStyle w:val="ListParagraph"/>
        <w:numPr>
          <w:ilvl w:val="0"/>
          <w:numId w:val="2"/>
        </w:numPr>
        <w:spacing w:after="80"/>
      </w:pPr>
      <w:r>
        <w:t xml:space="preserve">Backend stack — pending your decision (Section 11).</w:t>
      </w:r>
    </w:p>
    <w:p>
      <w:pPr>
        <w:pStyle w:val="ListParagraph"/>
        <w:numPr>
          <w:ilvl w:val="0"/>
          <w:numId w:val="2"/>
        </w:numPr>
        <w:spacing w:after="80"/>
      </w:pPr>
      <w:r>
        <w:t xml:space="preserve">GPS vendor landscape — needs an audit of which trackers your existing clients already use, to scope the integration adapter list realistically.</w:t>
      </w:r>
    </w:p>
    <w:p>
      <w:pPr>
        <w:pStyle w:val="ListParagraph"/>
        <w:numPr>
          <w:ilvl w:val="0"/>
          <w:numId w:val="2"/>
        </w:numPr>
        <w:spacing w:after="80"/>
      </w:pPr>
      <w:r>
        <w:t xml:space="preserve">KSA ZATCA compliance can't be deferred the way UAE e-invoicing can — factor this into actual MVP cost and timeline if a KSA client is onboarded early.</w:t>
      </w:r>
    </w:p>
    <w:p>
      <w:pPr>
        <w:pStyle w:val="ListParagraph"/>
        <w:numPr>
          <w:ilvl w:val="0"/>
          <w:numId w:val="2"/>
        </w:numPr>
        <w:spacing w:after="80"/>
      </w:pPr>
      <w:r>
        <w:t xml:space="preserve">E-invoicing ASP selection (UAE) — a future decision once Wave 4 approaches.</w:t>
      </w:r>
    </w:p>
    <w:p>
      <w:pPr>
        <w:pStyle w:val="ListParagraph"/>
        <w:numPr>
          <w:ilvl w:val="0"/>
          <w:numId w:val="2"/>
        </w:numPr>
        <w:spacing w:after="80"/>
      </w:pPr>
      <w:r>
        <w:t xml:space="preserve">Data residency — UAE and KSA data protection requirements may push toward regional hosting; worth confirming before infrastructure is locked in.</w:t>
      </w:r>
    </w:p>
    <w:p>
      <w:pPr>
        <w:pStyle w:val="ListParagraph"/>
        <w:numPr>
          <w:ilvl w:val="0"/>
          <w:numId w:val="2"/>
        </w:numPr>
        <w:spacing w:after="80"/>
      </w:pPr>
      <w:r>
        <w:t xml:space="preserve">WhatsApp Business API approval and cost — needs to be initiated early given approval lead times.</w:t>
      </w:r>
    </w:p>
    <w:p>
      <w:pPr>
        <w:pStyle w:val="ListParagraph"/>
        <w:numPr>
          <w:ilvl w:val="0"/>
          <w:numId w:val="2"/>
        </w:numPr>
        <w:spacing w:after="80"/>
      </w:pPr>
      <w:r>
        <w:t xml:space="preserve">Competitive pressure from regional ERP vendors lowering prices to compete with a new mobile-first entrant.</w:t>
      </w:r>
    </w:p>
    <w:p>
      <w:pPr>
        <w:pStyle w:val="Heading1"/>
      </w:pPr>
      <w:r>
        <w:t xml:space="preserve">15. Next Steps</w:t>
      </w:r>
    </w:p>
    <w:p>
      <w:pPr>
        <w:pStyle w:val="ListParagraph"/>
        <w:numPr>
          <w:ilvl w:val="0"/>
          <w:numId w:val="2"/>
        </w:numPr>
        <w:spacing w:after="80"/>
      </w:pPr>
      <w:r>
        <w:t xml:space="preserve">Confirm backend stack (Rust vs. .NET 8).</w:t>
      </w:r>
    </w:p>
    <w:p>
      <w:pPr>
        <w:pStyle w:val="ListParagraph"/>
        <w:numPr>
          <w:ilvl w:val="0"/>
          <w:numId w:val="2"/>
        </w:numPr>
        <w:spacing w:after="80"/>
      </w:pPr>
      <w:r>
        <w:t xml:space="preserve">Audit GPS tracker vendors currently used across your client roster.</w:t>
      </w:r>
    </w:p>
    <w:p>
      <w:pPr>
        <w:pStyle w:val="ListParagraph"/>
        <w:numPr>
          <w:ilvl w:val="0"/>
          <w:numId w:val="2"/>
        </w:numPr>
        <w:spacing w:after="80"/>
      </w:pPr>
      <w:r>
        <w:t xml:space="preserve">Decide whether the first KSA tenant goes live with full ZATCA compliance or whether UAE-first sequencing is acceptable within the broad v1 scope.</w:t>
      </w:r>
    </w:p>
    <w:p>
      <w:pPr>
        <w:pStyle w:val="ListParagraph"/>
        <w:numPr>
          <w:ilvl w:val="0"/>
          <w:numId w:val="2"/>
        </w:numPr>
        <w:spacing w:after="80"/>
      </w:pPr>
      <w:r>
        <w:t xml:space="preserve">Select a pilot client from your existing roster to validate the model end-to-end.</w:t>
      </w:r>
    </w:p>
    <w:p>
      <w:pPr>
        <w:pStyle w:val="ListParagraph"/>
        <w:numPr>
          <w:ilvl w:val="0"/>
          <w:numId w:val="2"/>
        </w:numPr>
        <w:spacing w:after="80"/>
      </w:pPr>
      <w:r>
        <w:t xml:space="preserve">Once the stack is locked, the next deliverable can be a detailed functional spec / ERD / API contract per module, the same level of detail as the marriage hall SRS.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Transport &amp; Fleet SaaS — Product Concept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4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2026-06-20T19:04:56.642Z</dcterms:created>
  <dcterms:modified xsi:type="dcterms:W3CDTF">2026-06-20T19:04:56.642Z</dcterms:modified>
</cp:coreProperties>
</file>

<file path=docProps/custom.xml><?xml version="1.0" encoding="utf-8"?>
<Properties xmlns="http://schemas.openxmlformats.org/officeDocument/2006/custom-properties" xmlns:vt="http://schemas.openxmlformats.org/officeDocument/2006/docPropsVTypes"/>
</file>