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65CC3" w14:textId="77777777" w:rsidR="0051262F" w:rsidRDefault="00000000">
      <w:pPr>
        <w:spacing w:after="60"/>
        <w:jc w:val="center"/>
      </w:pPr>
      <w:r>
        <w:rPr>
          <w:b/>
          <w:color w:val="1F4D78"/>
          <w:sz w:val="40"/>
        </w:rPr>
        <w:t>Video Analysis Method Literature Review Note</w:t>
      </w:r>
    </w:p>
    <w:p w14:paraId="309EFADD" w14:textId="6BBDFF34" w:rsidR="0051262F" w:rsidRDefault="00000000" w:rsidP="00D8646F">
      <w:pPr>
        <w:spacing w:after="240"/>
        <w:jc w:val="center"/>
      </w:pPr>
      <w:r>
        <w:rPr>
          <w:i/>
          <w:color w:val="556670"/>
          <w:sz w:val="20"/>
        </w:rPr>
        <w:t>Polished from the Obsidian draft: ResearchMethod / My notes / Video analyis / method lit reading note.md</w:t>
      </w:r>
    </w:p>
    <w:p w14:paraId="5E0AAC4D" w14:textId="77777777" w:rsidR="0051262F" w:rsidRDefault="00000000">
      <w:pPr>
        <w:pStyle w:val="Heading1"/>
      </w:pPr>
      <w:r>
        <w:rPr>
          <w:rFonts w:ascii="Calibri" w:hAnsi="Calibri"/>
        </w:rPr>
        <w:t>Reading Questions</w:t>
      </w:r>
    </w:p>
    <w:p w14:paraId="1FEE3F84" w14:textId="2440F9DB" w:rsidR="0051262F" w:rsidRDefault="00000000">
      <w:pPr>
        <w:pStyle w:val="ListBullet"/>
        <w:spacing w:after="80" w:line="280" w:lineRule="auto"/>
        <w:ind w:left="720"/>
      </w:pPr>
      <w:r>
        <w:rPr>
          <w:color w:val="1F2933"/>
        </w:rPr>
        <w:t>how to move from raw video to logs, significant episodes, close transcription, coding, and claims.</w:t>
      </w:r>
    </w:p>
    <w:p w14:paraId="12077D87" w14:textId="5D51C009" w:rsidR="0051262F" w:rsidRDefault="00000000">
      <w:pPr>
        <w:pStyle w:val="ListBullet"/>
        <w:spacing w:after="80" w:line="280" w:lineRule="auto"/>
        <w:ind w:left="720"/>
      </w:pPr>
      <w:r>
        <w:rPr>
          <w:color w:val="1F2933"/>
        </w:rPr>
        <w:t>how to capture nonverbal, embodied, material, relational, and accessibility-related actions alongside talk.</w:t>
      </w:r>
    </w:p>
    <w:p w14:paraId="44675DF6" w14:textId="77777777" w:rsidR="0051262F" w:rsidRDefault="00000000">
      <w:pPr>
        <w:pStyle w:val="Heading1"/>
      </w:pPr>
      <w:r>
        <w:rPr>
          <w:rFonts w:ascii="Calibri" w:hAnsi="Calibri"/>
        </w:rPr>
        <w:t>Why Video Analysis Matters</w:t>
      </w:r>
    </w:p>
    <w:p w14:paraId="477807E6" w14:textId="77777777" w:rsidR="0051262F" w:rsidRDefault="00000000">
      <w:pPr>
        <w:pStyle w:val="ListBullet"/>
        <w:spacing w:after="80" w:line="280" w:lineRule="auto"/>
        <w:ind w:left="720"/>
      </w:pPr>
      <w:r>
        <w:rPr>
          <w:color w:val="1F2933"/>
        </w:rPr>
        <w:t>It helps make classroom information meaningful by preserving interaction, material use, body orientation, and timing.</w:t>
      </w:r>
    </w:p>
    <w:p w14:paraId="62D3CAA2" w14:textId="77777777" w:rsidR="0051262F" w:rsidRDefault="00000000">
      <w:pPr>
        <w:pStyle w:val="ListBullet"/>
        <w:spacing w:after="80" w:line="280" w:lineRule="auto"/>
        <w:ind w:left="720"/>
      </w:pPr>
      <w:r>
        <w:rPr>
          <w:color w:val="1F2933"/>
        </w:rPr>
        <w:t>It supports triangulation when video is read together with field notes, interviews, classroom artifacts, journals, and researcher memos.</w:t>
      </w:r>
    </w:p>
    <w:p w14:paraId="290E2117" w14:textId="77777777" w:rsidR="0051262F" w:rsidRDefault="00000000">
      <w:pPr>
        <w:pStyle w:val="Heading1"/>
        <w:rPr>
          <w:rFonts w:ascii="Calibri" w:hAnsi="Calibri"/>
        </w:rPr>
      </w:pPr>
      <w:r>
        <w:rPr>
          <w:rFonts w:ascii="Calibri" w:hAnsi="Calibri"/>
        </w:rPr>
        <w:t>Fitzgerald, Hackling, and Dawson (2013)</w:t>
      </w:r>
    </w:p>
    <w:p w14:paraId="71313CE7" w14:textId="08FA51B3" w:rsidR="00CC39BB" w:rsidRPr="00CC39BB" w:rsidRDefault="00CC39BB" w:rsidP="00CC39BB">
      <w:pPr>
        <w:spacing w:after="0" w:line="240" w:lineRule="auto"/>
        <w:rPr>
          <w:rFonts w:ascii="Aptos" w:eastAsia="Times New Roman" w:hAnsi="Aptos" w:cs="Calibri"/>
          <w:color w:val="0B5CAD"/>
          <w:sz w:val="18"/>
          <w:szCs w:val="18"/>
          <w:u w:val="single"/>
          <w:lang w:eastAsia="zh-CN"/>
        </w:rPr>
      </w:pPr>
      <w:r w:rsidRPr="00CC39BB">
        <w:rPr>
          <w:color w:val="1F2933"/>
        </w:rPr>
        <w:t>Fitzgerald, Angela, Mark Hackling, and Vaille Dawson. "Through the viewfinder: Reflecting on the collection and analysis of classroom video data." International journal of qualitative methods 12, no. 1 (2013): 52-64.</w:t>
      </w:r>
      <w:r>
        <w:rPr>
          <w:color w:val="1F2933"/>
        </w:rPr>
        <w:t xml:space="preserve"> </w:t>
      </w:r>
      <w:r w:rsidRPr="00CC39BB">
        <w:rPr>
          <w:rFonts w:ascii="Aptos" w:eastAsia="Times New Roman" w:hAnsi="Aptos" w:cs="Calibri"/>
          <w:color w:val="0B5CAD"/>
          <w:sz w:val="18"/>
          <w:szCs w:val="18"/>
          <w:u w:val="single"/>
          <w:lang w:eastAsia="zh-CN"/>
        </w:rPr>
        <w:t>DOI: 10.1177/160940691301200127</w:t>
      </w:r>
    </w:p>
    <w:p w14:paraId="27B5135F" w14:textId="77777777" w:rsidR="00CC39BB" w:rsidRPr="00CC39BB" w:rsidRDefault="00CC39BB" w:rsidP="00CC39BB"/>
    <w:p w14:paraId="1E183185" w14:textId="77777777" w:rsidR="0051262F" w:rsidRDefault="00000000">
      <w:r>
        <w:rPr>
          <w:b/>
          <w:color w:val="1F2933"/>
        </w:rPr>
        <w:t xml:space="preserve">Core research focus: </w:t>
      </w:r>
      <w:r>
        <w:rPr>
          <w:color w:val="1F2933"/>
        </w:rPr>
        <w:t>How video can be collected and analyzed in classroom research, especially when studying teaching and learning practices over time.</w:t>
      </w:r>
    </w:p>
    <w:p w14:paraId="21307DB5" w14:textId="77777777" w:rsidR="0051262F" w:rsidRDefault="00000000">
      <w:r>
        <w:rPr>
          <w:color w:val="1F2933"/>
        </w:rPr>
        <w:t>Main contribution: The paper is most useful as practical guidance for recording design and trustworthiness. It foregrounds camera placement, wide versus close framing, audio setup, sampling, participant reactivity, consent, confidentiality, and the ethics of a permanent classroom record.</w:t>
      </w:r>
    </w:p>
    <w:p w14:paraId="5C5339AE" w14:textId="77777777" w:rsidR="0051262F" w:rsidRDefault="00000000">
      <w:pPr>
        <w:pStyle w:val="Heading2"/>
      </w:pPr>
      <w:r>
        <w:rPr>
          <w:rFonts w:ascii="Calibri" w:hAnsi="Calibri"/>
        </w:rPr>
        <w:t>Method points to retain</w:t>
      </w:r>
    </w:p>
    <w:p w14:paraId="7FD8B980" w14:textId="77777777" w:rsidR="0051262F" w:rsidRDefault="00000000">
      <w:pPr>
        <w:pStyle w:val="ListBullet"/>
        <w:spacing w:after="80" w:line="280" w:lineRule="auto"/>
        <w:ind w:left="720"/>
      </w:pPr>
      <w:r>
        <w:rPr>
          <w:color w:val="1F2933"/>
        </w:rPr>
        <w:t>Video ethnography requires conversation and negotiation between participant and researcher, rather than treating video as a neutral record.</w:t>
      </w:r>
    </w:p>
    <w:p w14:paraId="385155EB" w14:textId="77777777" w:rsidR="0051262F" w:rsidRDefault="00000000">
      <w:pPr>
        <w:pStyle w:val="ListBullet"/>
        <w:spacing w:after="80" w:line="280" w:lineRule="auto"/>
        <w:ind w:left="720"/>
      </w:pPr>
      <w:r>
        <w:rPr>
          <w:color w:val="1F2933"/>
        </w:rPr>
        <w:t>Ethical planning should address school access, student identification, reuse of footage outside the classroom, who can view the video, and long-term implications for participants.</w:t>
      </w:r>
    </w:p>
    <w:p w14:paraId="2359D9EF" w14:textId="77777777" w:rsidR="0051262F" w:rsidRDefault="00000000">
      <w:pPr>
        <w:pStyle w:val="ListBullet"/>
        <w:spacing w:after="80" w:line="280" w:lineRule="auto"/>
        <w:ind w:left="720"/>
      </w:pPr>
      <w:r>
        <w:rPr>
          <w:color w:val="1F2933"/>
        </w:rPr>
        <w:t>Sampling should stay simple. Recording design should collect enough context without creating an unmanageable analysis burden.</w:t>
      </w:r>
    </w:p>
    <w:p w14:paraId="490A7D31" w14:textId="77777777" w:rsidR="0051262F" w:rsidRDefault="00000000">
      <w:pPr>
        <w:pStyle w:val="ListBullet"/>
        <w:spacing w:after="80" w:line="280" w:lineRule="auto"/>
        <w:ind w:left="720"/>
      </w:pPr>
      <w:r>
        <w:rPr>
          <w:color w:val="1F2933"/>
        </w:rPr>
        <w:t>Participant reactivity matters: teachers and students may act for the camera at first, so the analysis should note when camera awareness appears to fade.</w:t>
      </w:r>
    </w:p>
    <w:p w14:paraId="327192B3" w14:textId="77777777" w:rsidR="0051262F" w:rsidRDefault="00000000">
      <w:pPr>
        <w:pStyle w:val="ListBullet"/>
        <w:spacing w:after="80" w:line="280" w:lineRule="auto"/>
        <w:ind w:left="720"/>
      </w:pPr>
      <w:r>
        <w:rPr>
          <w:color w:val="1F2933"/>
        </w:rPr>
        <w:t>Microanalysis can proceed by watching the sequence as a whole, identifying major events, linking event segments, transcribing interactions, and comparing segments across the dataset.</w:t>
      </w:r>
    </w:p>
    <w:p w14:paraId="4A15A4F5" w14:textId="610C86B2" w:rsidR="0051262F" w:rsidRDefault="00000000">
      <w:pPr>
        <w:pStyle w:val="Heading2"/>
      </w:pPr>
      <w:r>
        <w:rPr>
          <w:rFonts w:ascii="Calibri" w:hAnsi="Calibri"/>
        </w:rPr>
        <w:lastRenderedPageBreak/>
        <w:t xml:space="preserve">Use in </w:t>
      </w:r>
      <w:r w:rsidR="00D8646F">
        <w:rPr>
          <w:rFonts w:ascii="Calibri" w:hAnsi="Calibri"/>
        </w:rPr>
        <w:t>my</w:t>
      </w:r>
      <w:r>
        <w:rPr>
          <w:rFonts w:ascii="Calibri" w:hAnsi="Calibri"/>
        </w:rPr>
        <w:t xml:space="preserve"> project</w:t>
      </w:r>
    </w:p>
    <w:p w14:paraId="3B66333B" w14:textId="77777777" w:rsidR="0051262F" w:rsidRDefault="00000000">
      <w:r>
        <w:rPr>
          <w:color w:val="1F2933"/>
        </w:rPr>
        <w:t>Use Fitzgerald et al. to justify recording setup, technical simplification, ethical protocols, triangulation, and trustworthiness. For the current study, the 360-camera setup follows the principle of simplicity, but the note should still record limits around microphone design, close-up framing, and exact visibility of tactile actions.</w:t>
      </w:r>
    </w:p>
    <w:p w14:paraId="5AC82B4F" w14:textId="77777777" w:rsidR="0051262F" w:rsidRDefault="00000000">
      <w:pPr>
        <w:pStyle w:val="Heading1"/>
        <w:rPr>
          <w:rFonts w:ascii="Calibri" w:hAnsi="Calibri"/>
        </w:rPr>
      </w:pPr>
      <w:r>
        <w:rPr>
          <w:rFonts w:ascii="Calibri" w:hAnsi="Calibri"/>
        </w:rPr>
        <w:t>McNaughton (2009)</w:t>
      </w:r>
    </w:p>
    <w:p w14:paraId="23EF5B3B" w14:textId="6C21214B" w:rsidR="00CC39BB" w:rsidRPr="00CC39BB" w:rsidRDefault="00CC39BB" w:rsidP="00CC39BB">
      <w:pPr>
        <w:spacing w:after="0" w:line="240" w:lineRule="auto"/>
        <w:rPr>
          <w:color w:val="1F2933"/>
        </w:rPr>
      </w:pPr>
      <w:r w:rsidRPr="00CC39BB">
        <w:rPr>
          <w:color w:val="1F2933"/>
        </w:rPr>
        <w:t>McNaughton, Marie Jeanne. "Closing in on the picture: Analyzing interactions in video recordings." International Journal of Qualitative Methods 8, no. 4 (2009): 27-48.</w:t>
      </w:r>
      <w:r>
        <w:rPr>
          <w:color w:val="1F2933"/>
        </w:rPr>
        <w:t xml:space="preserve"> </w:t>
      </w:r>
      <w:r w:rsidRPr="00CC39BB">
        <w:rPr>
          <w:color w:val="1F2933"/>
        </w:rPr>
        <w:t>DOI: 10.1177/160940690900800405</w:t>
      </w:r>
      <w:r>
        <w:rPr>
          <w:color w:val="1F2933"/>
        </w:rPr>
        <w:t xml:space="preserve"> </w:t>
      </w:r>
    </w:p>
    <w:p w14:paraId="39E097E1" w14:textId="308BA8D2" w:rsidR="002F3D14" w:rsidRPr="00CC39BB" w:rsidRDefault="00CC39BB" w:rsidP="00CC39BB">
      <w:pPr>
        <w:spacing w:after="0" w:line="240" w:lineRule="auto"/>
        <w:rPr>
          <w:color w:val="1F2933"/>
        </w:rPr>
      </w:pPr>
      <w:r w:rsidRPr="00CC39BB">
        <w:rPr>
          <w:color w:val="1F2933"/>
        </w:rPr>
        <w:t xml:space="preserve">  </w:t>
      </w:r>
    </w:p>
    <w:p w14:paraId="4C325D79" w14:textId="77777777" w:rsidR="0051262F" w:rsidRDefault="00000000">
      <w:r>
        <w:rPr>
          <w:color w:val="1F2933"/>
        </w:rPr>
        <w:t>Core research focus: How classroom video recordings can be processed and analyzed to understand interaction, discourse, and learning in education for sustainable development drama and role-play lessons.</w:t>
      </w:r>
    </w:p>
    <w:p w14:paraId="4338DAC0" w14:textId="77777777" w:rsidR="0051262F" w:rsidRDefault="00000000">
      <w:r>
        <w:rPr>
          <w:color w:val="1F2933"/>
        </w:rPr>
        <w:t>Main contribution: McNaughton provides the procedural backbone for the current video-analysis workflow: a five-stage process, a transcription key, verbal and nonverbal discourse categories, and a transcription-analysis matrix.</w:t>
      </w:r>
    </w:p>
    <w:p w14:paraId="772CD1E3" w14:textId="77777777" w:rsidR="0051262F" w:rsidRDefault="00000000">
      <w:pPr>
        <w:pStyle w:val="Heading2"/>
      </w:pPr>
      <w:r>
        <w:rPr>
          <w:rFonts w:ascii="Calibri" w:hAnsi="Calibri"/>
        </w:rPr>
        <w:t>Five-stage workflow</w:t>
      </w:r>
    </w:p>
    <w:p w14:paraId="0D7CDF03" w14:textId="77777777" w:rsidR="0051262F" w:rsidRDefault="00000000">
      <w:pPr>
        <w:pStyle w:val="ListNumber"/>
        <w:spacing w:after="80" w:line="280" w:lineRule="auto"/>
        <w:ind w:left="720"/>
      </w:pPr>
      <w:r>
        <w:rPr>
          <w:color w:val="1F2933"/>
        </w:rPr>
        <w:t>Create logs of the video data, including participants, teacher involvement, interaction type, subject matter, and cross-references to interviews and field notes.</w:t>
      </w:r>
    </w:p>
    <w:p w14:paraId="0A843F00" w14:textId="77777777" w:rsidR="0051262F" w:rsidRDefault="00000000">
      <w:pPr>
        <w:pStyle w:val="ListNumber"/>
        <w:spacing w:after="80" w:line="280" w:lineRule="auto"/>
        <w:ind w:left="720"/>
      </w:pPr>
      <w:r>
        <w:rPr>
          <w:color w:val="1F2933"/>
        </w:rPr>
        <w:t>Identify significant episodes, using timing, episode boundaries, individual frames, and field-note criteria.</w:t>
      </w:r>
    </w:p>
    <w:p w14:paraId="0E718C5D" w14:textId="77777777" w:rsidR="0051262F" w:rsidRDefault="00000000">
      <w:pPr>
        <w:pStyle w:val="ListNumber"/>
        <w:spacing w:after="80" w:line="280" w:lineRule="auto"/>
        <w:ind w:left="720"/>
      </w:pPr>
      <w:r>
        <w:rPr>
          <w:color w:val="1F2933"/>
        </w:rPr>
        <w:t>Select and transcribe episodes for close analysis, including contextualization cues that shape how interaction is understood.</w:t>
      </w:r>
    </w:p>
    <w:p w14:paraId="35228974" w14:textId="77777777" w:rsidR="0051262F" w:rsidRDefault="00000000">
      <w:pPr>
        <w:pStyle w:val="ListNumber"/>
        <w:spacing w:after="80" w:line="280" w:lineRule="auto"/>
        <w:ind w:left="720"/>
      </w:pPr>
      <w:r>
        <w:rPr>
          <w:color w:val="1F2933"/>
        </w:rPr>
        <w:t>Describe and interpret the transcribed episodes using verbal and nonverbal categories such as facial expression, gaze, gesture, posture, touch, and spatial behavior.</w:t>
      </w:r>
    </w:p>
    <w:p w14:paraId="08FFED6D" w14:textId="77777777" w:rsidR="0051262F" w:rsidRDefault="00000000">
      <w:pPr>
        <w:pStyle w:val="ListNumber"/>
        <w:spacing w:after="80" w:line="280" w:lineRule="auto"/>
        <w:ind w:left="720"/>
      </w:pPr>
      <w:r>
        <w:rPr>
          <w:color w:val="1F2933"/>
        </w:rPr>
        <w:t>Seek themes and make links to learning outcomes or broader pedagogical claims.</w:t>
      </w:r>
    </w:p>
    <w:p w14:paraId="5D44309C" w14:textId="77777777" w:rsidR="0051262F" w:rsidRDefault="00000000">
      <w:r>
        <w:rPr>
          <w:color w:val="1F2933"/>
        </w:rPr>
        <w:t>A key interpretive caution from the draft is that there is no single correct interpretation of events. The analyst's purpose and perspective shape what becomes relevant, so each interpretation needs an evidence chain.</w:t>
      </w:r>
    </w:p>
    <w:p w14:paraId="1C09AB7D" w14:textId="15EE1DE0" w:rsidR="0051262F" w:rsidRDefault="00000000">
      <w:pPr>
        <w:pStyle w:val="Heading2"/>
      </w:pPr>
      <w:r>
        <w:rPr>
          <w:rFonts w:ascii="Calibri" w:hAnsi="Calibri"/>
        </w:rPr>
        <w:t xml:space="preserve">Use in </w:t>
      </w:r>
      <w:r w:rsidR="00D8646F">
        <w:rPr>
          <w:rFonts w:ascii="Calibri" w:hAnsi="Calibri"/>
        </w:rPr>
        <w:t>my</w:t>
      </w:r>
      <w:r>
        <w:rPr>
          <w:rFonts w:ascii="Calibri" w:hAnsi="Calibri"/>
        </w:rPr>
        <w:t xml:space="preserve"> project</w:t>
      </w:r>
    </w:p>
    <w:p w14:paraId="3A049395" w14:textId="77777777" w:rsidR="0051262F" w:rsidRDefault="00000000">
      <w:pPr>
        <w:rPr>
          <w:color w:val="1F2933"/>
        </w:rPr>
      </w:pPr>
      <w:r>
        <w:rPr>
          <w:color w:val="1F2933"/>
        </w:rPr>
        <w:t>Use McNaughton to justify the move from raw videos to logs, selected episodes, multimodal transcripts, coded themes, and learning-related claims. The workflow is directly useful, but the transcription and coding categories need to be expanded for neurodivergent learners whose meaningful participation may be nonverbal, embodied, material, or sensory-regulatory.</w:t>
      </w:r>
    </w:p>
    <w:p w14:paraId="20C599E3" w14:textId="77777777" w:rsidR="002F3D14" w:rsidRDefault="002F3D14"/>
    <w:p w14:paraId="5C9E854E" w14:textId="77777777" w:rsidR="0051262F" w:rsidRDefault="00000000">
      <w:pPr>
        <w:pStyle w:val="Heading1"/>
      </w:pPr>
      <w:r>
        <w:rPr>
          <w:rFonts w:ascii="Calibri" w:hAnsi="Calibri"/>
        </w:rPr>
        <w:lastRenderedPageBreak/>
        <w:t>Extending the Literature for Neurodivergent Classroom Video</w:t>
      </w:r>
    </w:p>
    <w:p w14:paraId="486CFACB" w14:textId="77777777" w:rsidR="0051262F" w:rsidRDefault="00000000">
      <w:r>
        <w:rPr>
          <w:color w:val="1F2933"/>
        </w:rPr>
        <w:t>The first two papers explain how to conduct video analysis from sampling to summary. They provide a practical workflow, but the current study needs additional nonverbal and embodied approaches because some neurodivergent learners may communicate primarily through action, touch, material use, gaze, posture, silence, waiting, withdrawal, or re-entry.</w:t>
      </w:r>
    </w:p>
    <w:p w14:paraId="17DE2872" w14:textId="77777777" w:rsidR="0051262F" w:rsidRDefault="00000000">
      <w:pPr>
        <w:pStyle w:val="ListBullet"/>
        <w:spacing w:after="80" w:line="280" w:lineRule="auto"/>
        <w:ind w:left="720"/>
      </w:pPr>
      <w:r>
        <w:rPr>
          <w:color w:val="1F2933"/>
        </w:rPr>
        <w:t>Speech should be coded, but it should not be treated as the only meaningful channel.</w:t>
      </w:r>
    </w:p>
    <w:p w14:paraId="40C26A11" w14:textId="6E6D2737" w:rsidR="0051262F" w:rsidRDefault="00000000">
      <w:pPr>
        <w:pStyle w:val="ListBullet"/>
        <w:spacing w:after="80" w:line="280" w:lineRule="auto"/>
        <w:ind w:left="720"/>
      </w:pPr>
      <w:r>
        <w:rPr>
          <w:color w:val="1F2933"/>
        </w:rPr>
        <w:t>The analysis should log gaze, posture, pointing, touch, object movement</w:t>
      </w:r>
      <w:r w:rsidR="002F3D14">
        <w:rPr>
          <w:color w:val="1F2933"/>
        </w:rPr>
        <w:t xml:space="preserve"> and other semiotic resources.</w:t>
      </w:r>
    </w:p>
    <w:p w14:paraId="2EA55F27" w14:textId="77777777" w:rsidR="0051262F" w:rsidRDefault="00000000">
      <w:pPr>
        <w:pStyle w:val="Heading1"/>
      </w:pPr>
      <w:r>
        <w:rPr>
          <w:rFonts w:ascii="Calibri" w:hAnsi="Calibri"/>
        </w:rPr>
        <w:t>Applied Examples and Method Anchors</w:t>
      </w:r>
    </w:p>
    <w:p w14:paraId="19403443" w14:textId="77777777" w:rsidR="0051262F" w:rsidRDefault="00000000">
      <w:pPr>
        <w:pStyle w:val="Heading2"/>
        <w:rPr>
          <w:rFonts w:ascii="Calibri" w:hAnsi="Calibri"/>
        </w:rPr>
      </w:pPr>
      <w:proofErr w:type="spellStart"/>
      <w:r>
        <w:rPr>
          <w:rFonts w:ascii="Calibri" w:hAnsi="Calibri"/>
        </w:rPr>
        <w:t>Incloodle</w:t>
      </w:r>
      <w:proofErr w:type="spellEnd"/>
      <w:r>
        <w:rPr>
          <w:rFonts w:ascii="Calibri" w:hAnsi="Calibri"/>
        </w:rPr>
        <w:t>-Classroom</w:t>
      </w:r>
    </w:p>
    <w:p w14:paraId="5EF42191" w14:textId="066B7DFD" w:rsidR="002F3D14" w:rsidRDefault="002F3D14" w:rsidP="002F3D14">
      <w:pPr>
        <w:spacing w:after="0" w:line="240" w:lineRule="auto"/>
        <w:rPr>
          <w:rFonts w:ascii="Aptos" w:eastAsia="Times New Roman" w:hAnsi="Aptos" w:cs="Calibri"/>
          <w:color w:val="1F2933"/>
          <w:sz w:val="18"/>
          <w:szCs w:val="18"/>
          <w:lang w:eastAsia="zh-CN"/>
        </w:rPr>
      </w:pPr>
      <w:r w:rsidRPr="002F3D14">
        <w:rPr>
          <w:rFonts w:ascii="Aptos" w:eastAsia="Times New Roman" w:hAnsi="Aptos" w:cs="Calibri"/>
          <w:color w:val="1F2933"/>
          <w:sz w:val="18"/>
          <w:szCs w:val="18"/>
          <w:lang w:eastAsia="zh-CN"/>
        </w:rPr>
        <w:t xml:space="preserve">Kiley Sobel, </w:t>
      </w:r>
      <w:proofErr w:type="spellStart"/>
      <w:r w:rsidRPr="002F3D14">
        <w:rPr>
          <w:rFonts w:ascii="Aptos" w:eastAsia="Times New Roman" w:hAnsi="Aptos" w:cs="Calibri"/>
          <w:color w:val="1F2933"/>
          <w:sz w:val="18"/>
          <w:szCs w:val="18"/>
          <w:lang w:eastAsia="zh-CN"/>
        </w:rPr>
        <w:t>Maitraye</w:t>
      </w:r>
      <w:proofErr w:type="spellEnd"/>
      <w:r w:rsidRPr="002F3D14">
        <w:rPr>
          <w:rFonts w:ascii="Aptos" w:eastAsia="Times New Roman" w:hAnsi="Aptos" w:cs="Calibri"/>
          <w:color w:val="1F2933"/>
          <w:sz w:val="18"/>
          <w:szCs w:val="18"/>
          <w:lang w:eastAsia="zh-CN"/>
        </w:rPr>
        <w:t xml:space="preserve"> Das, Sara </w:t>
      </w:r>
      <w:proofErr w:type="spellStart"/>
      <w:r w:rsidRPr="002F3D14">
        <w:rPr>
          <w:rFonts w:ascii="Aptos" w:eastAsia="Times New Roman" w:hAnsi="Aptos" w:cs="Calibri"/>
          <w:color w:val="1F2933"/>
          <w:sz w:val="18"/>
          <w:szCs w:val="18"/>
          <w:lang w:eastAsia="zh-CN"/>
        </w:rPr>
        <w:t>Behbakht</w:t>
      </w:r>
      <w:proofErr w:type="spellEnd"/>
      <w:r w:rsidRPr="002F3D14">
        <w:rPr>
          <w:rFonts w:ascii="Aptos" w:eastAsia="Times New Roman" w:hAnsi="Aptos" w:cs="Calibri"/>
          <w:color w:val="1F2933"/>
          <w:sz w:val="18"/>
          <w:szCs w:val="18"/>
          <w:lang w:eastAsia="zh-CN"/>
        </w:rPr>
        <w:t xml:space="preserve">, and Julie A. Kientz. 2024. </w:t>
      </w:r>
      <w:proofErr w:type="spellStart"/>
      <w:r w:rsidRPr="002F3D14">
        <w:rPr>
          <w:rFonts w:ascii="Aptos" w:eastAsia="Times New Roman" w:hAnsi="Aptos" w:cs="Calibri"/>
          <w:color w:val="1F2933"/>
          <w:sz w:val="18"/>
          <w:szCs w:val="18"/>
          <w:lang w:eastAsia="zh-CN"/>
        </w:rPr>
        <w:t>Incloodle</w:t>
      </w:r>
      <w:proofErr w:type="spellEnd"/>
      <w:r w:rsidRPr="002F3D14">
        <w:rPr>
          <w:rFonts w:ascii="Aptos" w:eastAsia="Times New Roman" w:hAnsi="Aptos" w:cs="Calibri"/>
          <w:color w:val="1F2933"/>
          <w:sz w:val="18"/>
          <w:szCs w:val="18"/>
          <w:lang w:eastAsia="zh-CN"/>
        </w:rPr>
        <w:t xml:space="preserve">-Classroom: Technology for Inclusive Joint Media Engagement in a Neurodiverse Kindergarten Classroom. ACM Trans. </w:t>
      </w:r>
      <w:proofErr w:type="spellStart"/>
      <w:proofErr w:type="gramStart"/>
      <w:r w:rsidRPr="002F3D14">
        <w:rPr>
          <w:rFonts w:ascii="Aptos" w:eastAsia="Times New Roman" w:hAnsi="Aptos" w:cs="Calibri"/>
          <w:color w:val="1F2933"/>
          <w:sz w:val="18"/>
          <w:szCs w:val="18"/>
          <w:lang w:eastAsia="zh-CN"/>
        </w:rPr>
        <w:t>Comput</w:t>
      </w:r>
      <w:proofErr w:type="spellEnd"/>
      <w:r w:rsidRPr="002F3D14">
        <w:rPr>
          <w:rFonts w:ascii="Aptos" w:eastAsia="Times New Roman" w:hAnsi="Aptos" w:cs="Calibri"/>
          <w:color w:val="1F2933"/>
          <w:sz w:val="18"/>
          <w:szCs w:val="18"/>
          <w:lang w:eastAsia="zh-CN"/>
        </w:rPr>
        <w:t>.-</w:t>
      </w:r>
      <w:proofErr w:type="gramEnd"/>
      <w:r w:rsidRPr="002F3D14">
        <w:rPr>
          <w:rFonts w:ascii="Aptos" w:eastAsia="Times New Roman" w:hAnsi="Aptos" w:cs="Calibri"/>
          <w:color w:val="1F2933"/>
          <w:sz w:val="18"/>
          <w:szCs w:val="18"/>
          <w:lang w:eastAsia="zh-CN"/>
        </w:rPr>
        <w:t xml:space="preserve">Hum. Interact. 31, 3, Article 41 (August 2024), 45 pages. </w:t>
      </w:r>
      <w:hyperlink r:id="rId8" w:history="1">
        <w:r w:rsidRPr="008E5802">
          <w:rPr>
            <w:rStyle w:val="Hyperlink"/>
            <w:rFonts w:ascii="Aptos" w:eastAsia="Times New Roman" w:hAnsi="Aptos" w:cs="Calibri"/>
            <w:sz w:val="18"/>
            <w:szCs w:val="18"/>
            <w:lang w:eastAsia="zh-CN"/>
          </w:rPr>
          <w:t>https://doi.org/10.1145/3674506</w:t>
        </w:r>
      </w:hyperlink>
      <w:r>
        <w:rPr>
          <w:rFonts w:ascii="Aptos" w:eastAsia="Times New Roman" w:hAnsi="Aptos" w:cs="Calibri"/>
          <w:color w:val="1F2933"/>
          <w:sz w:val="18"/>
          <w:szCs w:val="18"/>
          <w:lang w:eastAsia="zh-CN"/>
        </w:rPr>
        <w:t xml:space="preserve"> </w:t>
      </w:r>
    </w:p>
    <w:p w14:paraId="2A7A7E9E" w14:textId="77777777" w:rsidR="002F3D14" w:rsidRPr="002F3D14" w:rsidRDefault="002F3D14" w:rsidP="002F3D14">
      <w:pPr>
        <w:spacing w:after="0" w:line="240" w:lineRule="auto"/>
        <w:rPr>
          <w:rFonts w:ascii="Aptos" w:eastAsia="Times New Roman" w:hAnsi="Aptos" w:cs="Calibri"/>
          <w:color w:val="1F2933"/>
          <w:sz w:val="18"/>
          <w:szCs w:val="18"/>
          <w:lang w:eastAsia="zh-CN"/>
        </w:rPr>
      </w:pPr>
    </w:p>
    <w:p w14:paraId="4F21A0B1" w14:textId="77777777" w:rsidR="0051262F" w:rsidRDefault="00000000">
      <w:r>
        <w:rPr>
          <w:color w:val="1F2933"/>
        </w:rPr>
        <w:t>The Incloodle-Classroom study is useful as an HCI example of inclusive classroom video analysis. It studied interactions among neurodiverse children during collaborative play with a tablet-based picture-taking application and adult support.</w:t>
      </w:r>
    </w:p>
    <w:p w14:paraId="581E8289" w14:textId="77777777" w:rsidR="0051262F" w:rsidRDefault="00000000">
      <w:pPr>
        <w:pStyle w:val="ListBullet"/>
        <w:spacing w:after="80" w:line="280" w:lineRule="auto"/>
        <w:ind w:left="720"/>
      </w:pPr>
      <w:r>
        <w:rPr>
          <w:color w:val="1F2933"/>
        </w:rPr>
        <w:t>Study design: formative ethnographic study with 15 neurodivergent and 16 neurotypical children over a 10-week deployment.</w:t>
      </w:r>
    </w:p>
    <w:p w14:paraId="2582B29D" w14:textId="77777777" w:rsidR="0051262F" w:rsidRDefault="00000000">
      <w:pPr>
        <w:pStyle w:val="ListBullet"/>
        <w:spacing w:after="80" w:line="280" w:lineRule="auto"/>
        <w:ind w:left="720"/>
      </w:pPr>
      <w:r>
        <w:rPr>
          <w:color w:val="1F2933"/>
        </w:rPr>
        <w:t>Data collection: 84 distinct recordings of play events, totaling about 837 minutes or 13.95 hours of video.</w:t>
      </w:r>
    </w:p>
    <w:p w14:paraId="220AF9A5" w14:textId="77777777" w:rsidR="0051262F" w:rsidRDefault="00000000">
      <w:pPr>
        <w:pStyle w:val="ListBullet"/>
        <w:spacing w:after="80" w:line="280" w:lineRule="auto"/>
        <w:ind w:left="720"/>
      </w:pPr>
      <w:r>
        <w:rPr>
          <w:color w:val="1F2933"/>
        </w:rPr>
        <w:t>Analysis focus: micro-analysis of child-to-child, adult-to-child, child-to-adult, child-to-technology, and technology-to-child interactions.</w:t>
      </w:r>
    </w:p>
    <w:p w14:paraId="1A17E2CB" w14:textId="77777777" w:rsidR="0051262F" w:rsidRDefault="00000000">
      <w:pPr>
        <w:pStyle w:val="ListBullet"/>
        <w:spacing w:after="80" w:line="280" w:lineRule="auto"/>
        <w:ind w:left="720"/>
      </w:pPr>
      <w:r>
        <w:rPr>
          <w:color w:val="1F2933"/>
        </w:rPr>
        <w:t>Method anchors in the draft: Norris (2004) for multimodal interaction analysis and Derry et al. (2010) for video research in the learning sciences.</w:t>
      </w:r>
    </w:p>
    <w:p w14:paraId="216453E6" w14:textId="77777777" w:rsidR="0051262F" w:rsidRDefault="00000000">
      <w:r>
        <w:rPr>
          <w:color w:val="1F2933"/>
        </w:rPr>
        <w:t>Use this example to justify content logging, open coding, hotspot selection, multimodal transcription, and analysis of adult scaffolding, peer negotiation, shared artifacts, and inclusion as interactional work.</w:t>
      </w:r>
    </w:p>
    <w:p w14:paraId="2C9325CD" w14:textId="77777777" w:rsidR="0051262F" w:rsidRDefault="00000000">
      <w:pPr>
        <w:pStyle w:val="Heading2"/>
      </w:pPr>
      <w:r>
        <w:rPr>
          <w:rFonts w:ascii="Calibri" w:hAnsi="Calibri"/>
        </w:rPr>
        <w:t>Social Touch and Taxonomy Inspiration</w:t>
      </w:r>
    </w:p>
    <w:p w14:paraId="2CC0983A" w14:textId="4C400430" w:rsidR="002F3D14" w:rsidRDefault="002F3D14">
      <w:pPr>
        <w:rPr>
          <w:color w:val="1F2933"/>
        </w:rPr>
      </w:pPr>
      <w:r w:rsidRPr="002F3D14">
        <w:rPr>
          <w:color w:val="1F2933"/>
        </w:rPr>
        <w:t xml:space="preserve">Bhardwaj, Ayush, Ashish Pratap, Abbas Khawaja, </w:t>
      </w:r>
      <w:proofErr w:type="spellStart"/>
      <w:r w:rsidRPr="002F3D14">
        <w:rPr>
          <w:color w:val="1F2933"/>
        </w:rPr>
        <w:t>Yapeng</w:t>
      </w:r>
      <w:proofErr w:type="spellEnd"/>
      <w:r w:rsidRPr="002F3D14">
        <w:rPr>
          <w:color w:val="1F2933"/>
        </w:rPr>
        <w:t xml:space="preserve"> Tian, </w:t>
      </w:r>
      <w:proofErr w:type="spellStart"/>
      <w:r w:rsidRPr="002F3D14">
        <w:rPr>
          <w:color w:val="1F2933"/>
        </w:rPr>
        <w:t>Uison</w:t>
      </w:r>
      <w:proofErr w:type="spellEnd"/>
      <w:r w:rsidRPr="002F3D14">
        <w:rPr>
          <w:color w:val="1F2933"/>
        </w:rPr>
        <w:t xml:space="preserve"> Ju, </w:t>
      </w:r>
      <w:proofErr w:type="spellStart"/>
      <w:r w:rsidRPr="002F3D14">
        <w:rPr>
          <w:color w:val="1F2933"/>
        </w:rPr>
        <w:t>Dajin</w:t>
      </w:r>
      <w:proofErr w:type="spellEnd"/>
      <w:r w:rsidRPr="002F3D14">
        <w:rPr>
          <w:color w:val="1F2933"/>
        </w:rPr>
        <w:t xml:space="preserve"> Lee, </w:t>
      </w:r>
      <w:proofErr w:type="spellStart"/>
      <w:r w:rsidRPr="002F3D14">
        <w:rPr>
          <w:color w:val="1F2933"/>
        </w:rPr>
        <w:t>Seungmoon</w:t>
      </w:r>
      <w:proofErr w:type="spellEnd"/>
      <w:r w:rsidRPr="002F3D14">
        <w:rPr>
          <w:color w:val="1F2933"/>
        </w:rPr>
        <w:t xml:space="preserve"> Choi, and Jin Ryong Kim. "Touch with Meaning: A Contextual Analysis of Social Touch." In Proceedings of the 2026 CHI Conference on Human Factors in Computing Systems, pp. 1-26. 2026 </w:t>
      </w:r>
      <w:hyperlink r:id="rId9" w:history="1">
        <w:r w:rsidRPr="008E5802">
          <w:rPr>
            <w:rStyle w:val="Hyperlink"/>
          </w:rPr>
          <w:t>https://dl.acm.org/doi/10.1145/3772318.3791605</w:t>
        </w:r>
      </w:hyperlink>
      <w:r>
        <w:rPr>
          <w:color w:val="1F2933"/>
        </w:rPr>
        <w:t xml:space="preserve"> </w:t>
      </w:r>
    </w:p>
    <w:p w14:paraId="241DEEC9" w14:textId="0FFE6049" w:rsidR="0051262F" w:rsidRDefault="00000000">
      <w:r>
        <w:rPr>
          <w:color w:val="1F2933"/>
        </w:rPr>
        <w:t>The draft also notes a social-touch taxonomy source from CHI. It identifies touch types such as pat, tap, stroke, intertwine, place, pinch, press, hold, hug, bump, poke, push, lift, high-five, and brush, and associates meanings with gestures, body locations, and relational contexts.</w:t>
      </w:r>
    </w:p>
    <w:p w14:paraId="2B5E492C" w14:textId="77777777" w:rsidR="0051262F" w:rsidRDefault="00000000">
      <w:r>
        <w:rPr>
          <w:color w:val="1F2933"/>
        </w:rPr>
        <w:lastRenderedPageBreak/>
        <w:t>Use this as taxonomy inspiration only. For classroom learning analysis, each touch category still needs local evidence: who initiated it, what came before, how the recipient responded, and whether the touch changed access, engagement, comfort, or task progress.</w:t>
      </w:r>
    </w:p>
    <w:p w14:paraId="5B29E0A5" w14:textId="77777777" w:rsidR="0051262F" w:rsidRDefault="00000000">
      <w:pPr>
        <w:pStyle w:val="Heading1"/>
      </w:pPr>
      <w:r>
        <w:rPr>
          <w:rFonts w:ascii="Calibri" w:hAnsi="Calibri"/>
        </w:rPr>
        <w:t>Practical Synthesis for the Current Analysis</w:t>
      </w:r>
    </w:p>
    <w:p w14:paraId="709BF49A" w14:textId="77777777" w:rsidR="0051262F" w:rsidRDefault="00000000">
      <w:r>
        <w:rPr>
          <w:color w:val="1F2933"/>
        </w:rPr>
        <w:t>The working analysis should combine a staged video-analysis workflow with multi-layer episode logging. The core movement is from broad source management to candidate episodes, then to close multimodal analysis and cautious thematic interpretation.</w:t>
      </w:r>
    </w:p>
    <w:tbl>
      <w:tblPr>
        <w:tblStyle w:val="TableGrid"/>
        <w:tblW w:w="8550" w:type="dxa"/>
        <w:tblInd w:w="120" w:type="dxa"/>
        <w:tblBorders>
          <w:top w:val="single" w:sz="4" w:space="0" w:color="CAD6D9"/>
          <w:left w:val="single" w:sz="4" w:space="0" w:color="CAD6D9"/>
          <w:bottom w:val="single" w:sz="4" w:space="0" w:color="CAD6D9"/>
          <w:right w:val="single" w:sz="4" w:space="0" w:color="CAD6D9"/>
          <w:insideH w:val="single" w:sz="4" w:space="0" w:color="CAD6D9"/>
          <w:insideV w:val="single" w:sz="4" w:space="0" w:color="CAD6D9"/>
        </w:tblBorders>
        <w:tblLook w:val="04A0" w:firstRow="1" w:lastRow="0" w:firstColumn="1" w:lastColumn="0" w:noHBand="0" w:noVBand="1"/>
      </w:tblPr>
      <w:tblGrid>
        <w:gridCol w:w="2520"/>
        <w:gridCol w:w="6030"/>
      </w:tblGrid>
      <w:tr w:rsidR="002F3D14" w14:paraId="22EB77EE" w14:textId="77777777" w:rsidTr="002F3D14">
        <w:tc>
          <w:tcPr>
            <w:tcW w:w="2520" w:type="dxa"/>
            <w:shd w:val="clear" w:color="auto" w:fill="F2F4F7"/>
            <w:tcMar>
              <w:top w:w="80" w:type="dxa"/>
              <w:left w:w="120" w:type="dxa"/>
              <w:bottom w:w="80" w:type="dxa"/>
              <w:right w:w="120" w:type="dxa"/>
            </w:tcMar>
            <w:vAlign w:val="center"/>
          </w:tcPr>
          <w:p w14:paraId="2A03AFE8" w14:textId="77777777" w:rsidR="002F3D14" w:rsidRDefault="002F3D14">
            <w:pPr>
              <w:jc w:val="center"/>
            </w:pPr>
            <w:r>
              <w:rPr>
                <w:b/>
                <w:color w:val="1F4D78"/>
                <w:sz w:val="20"/>
              </w:rPr>
              <w:t>Stage</w:t>
            </w:r>
          </w:p>
        </w:tc>
        <w:tc>
          <w:tcPr>
            <w:tcW w:w="6030" w:type="dxa"/>
            <w:shd w:val="clear" w:color="auto" w:fill="F2F4F7"/>
            <w:tcMar>
              <w:top w:w="80" w:type="dxa"/>
              <w:left w:w="120" w:type="dxa"/>
              <w:bottom w:w="80" w:type="dxa"/>
              <w:right w:w="120" w:type="dxa"/>
            </w:tcMar>
            <w:vAlign w:val="center"/>
          </w:tcPr>
          <w:p w14:paraId="6A8029C6" w14:textId="77777777" w:rsidR="002F3D14" w:rsidRDefault="002F3D14">
            <w:pPr>
              <w:jc w:val="center"/>
            </w:pPr>
            <w:r>
              <w:rPr>
                <w:b/>
                <w:color w:val="1F4D78"/>
                <w:sz w:val="20"/>
              </w:rPr>
              <w:t>What to do</w:t>
            </w:r>
          </w:p>
        </w:tc>
      </w:tr>
      <w:tr w:rsidR="002F3D14" w14:paraId="556A7523" w14:textId="77777777" w:rsidTr="002F3D14">
        <w:tc>
          <w:tcPr>
            <w:tcW w:w="2520" w:type="dxa"/>
            <w:tcMar>
              <w:top w:w="80" w:type="dxa"/>
              <w:left w:w="120" w:type="dxa"/>
              <w:bottom w:w="80" w:type="dxa"/>
              <w:right w:w="120" w:type="dxa"/>
            </w:tcMar>
            <w:vAlign w:val="center"/>
          </w:tcPr>
          <w:p w14:paraId="3E64B556" w14:textId="77777777" w:rsidR="002F3D14" w:rsidRDefault="002F3D14">
            <w:pPr>
              <w:spacing w:after="40"/>
            </w:pPr>
            <w:r>
              <w:rPr>
                <w:color w:val="1F2933"/>
                <w:sz w:val="19"/>
              </w:rPr>
              <w:t>1. Source log</w:t>
            </w:r>
          </w:p>
        </w:tc>
        <w:tc>
          <w:tcPr>
            <w:tcW w:w="6030" w:type="dxa"/>
            <w:tcMar>
              <w:top w:w="80" w:type="dxa"/>
              <w:left w:w="120" w:type="dxa"/>
              <w:bottom w:w="80" w:type="dxa"/>
              <w:right w:w="120" w:type="dxa"/>
            </w:tcMar>
            <w:vAlign w:val="center"/>
          </w:tcPr>
          <w:p w14:paraId="388D6FD8" w14:textId="77777777" w:rsidR="002F3D14" w:rsidRDefault="002F3D14">
            <w:pPr>
              <w:spacing w:after="40"/>
            </w:pPr>
            <w:r>
              <w:rPr>
                <w:color w:val="1F2933"/>
                <w:sz w:val="19"/>
              </w:rPr>
              <w:t>Inventory videos, field notes, interviews, artifacts, students/groups, task segments, and consent boundaries.</w:t>
            </w:r>
          </w:p>
        </w:tc>
      </w:tr>
      <w:tr w:rsidR="002F3D14" w14:paraId="0B9AAAD3" w14:textId="77777777" w:rsidTr="002F3D14">
        <w:tc>
          <w:tcPr>
            <w:tcW w:w="2520" w:type="dxa"/>
            <w:tcMar>
              <w:top w:w="80" w:type="dxa"/>
              <w:left w:w="120" w:type="dxa"/>
              <w:bottom w:w="80" w:type="dxa"/>
              <w:right w:w="120" w:type="dxa"/>
            </w:tcMar>
            <w:vAlign w:val="center"/>
          </w:tcPr>
          <w:p w14:paraId="701C937B" w14:textId="77777777" w:rsidR="002F3D14" w:rsidRDefault="002F3D14">
            <w:pPr>
              <w:spacing w:after="40"/>
            </w:pPr>
            <w:r>
              <w:rPr>
                <w:color w:val="1F2933"/>
                <w:sz w:val="19"/>
              </w:rPr>
              <w:t>2. Candidate episodes</w:t>
            </w:r>
          </w:p>
        </w:tc>
        <w:tc>
          <w:tcPr>
            <w:tcW w:w="6030" w:type="dxa"/>
            <w:tcMar>
              <w:top w:w="80" w:type="dxa"/>
              <w:left w:w="120" w:type="dxa"/>
              <w:bottom w:w="80" w:type="dxa"/>
              <w:right w:w="120" w:type="dxa"/>
            </w:tcMar>
            <w:vAlign w:val="center"/>
          </w:tcPr>
          <w:p w14:paraId="1352D8BC" w14:textId="77777777" w:rsidR="002F3D14" w:rsidRDefault="002F3D14">
            <w:pPr>
              <w:spacing w:after="40"/>
            </w:pPr>
            <w:r>
              <w:rPr>
                <w:color w:val="1F2933"/>
                <w:sz w:val="19"/>
              </w:rPr>
              <w:t>Read field notes and perform an initial video sweep to identify moments with analytic value.</w:t>
            </w:r>
          </w:p>
        </w:tc>
      </w:tr>
      <w:tr w:rsidR="002F3D14" w14:paraId="6D1C2430" w14:textId="77777777" w:rsidTr="002F3D14">
        <w:tc>
          <w:tcPr>
            <w:tcW w:w="2520" w:type="dxa"/>
            <w:tcMar>
              <w:top w:w="80" w:type="dxa"/>
              <w:left w:w="120" w:type="dxa"/>
              <w:bottom w:w="80" w:type="dxa"/>
              <w:right w:w="120" w:type="dxa"/>
            </w:tcMar>
            <w:vAlign w:val="center"/>
          </w:tcPr>
          <w:p w14:paraId="479812A1" w14:textId="77777777" w:rsidR="002F3D14" w:rsidRDefault="002F3D14">
            <w:pPr>
              <w:spacing w:after="40"/>
            </w:pPr>
            <w:r>
              <w:rPr>
                <w:color w:val="1F2933"/>
                <w:sz w:val="19"/>
              </w:rPr>
              <w:t>3. Close-analysis selection</w:t>
            </w:r>
          </w:p>
        </w:tc>
        <w:tc>
          <w:tcPr>
            <w:tcW w:w="6030" w:type="dxa"/>
            <w:tcMar>
              <w:top w:w="80" w:type="dxa"/>
              <w:left w:w="120" w:type="dxa"/>
              <w:bottom w:w="80" w:type="dxa"/>
              <w:right w:w="120" w:type="dxa"/>
            </w:tcMar>
            <w:vAlign w:val="center"/>
          </w:tcPr>
          <w:p w14:paraId="300F8A3F" w14:textId="77777777" w:rsidR="002F3D14" w:rsidRDefault="002F3D14">
            <w:pPr>
              <w:spacing w:after="40"/>
            </w:pPr>
            <w:r>
              <w:rPr>
                <w:color w:val="1F2933"/>
                <w:sz w:val="19"/>
              </w:rPr>
              <w:t>Choose episodes with enough visibility, audio/context, consent safety, and research-question relevance.</w:t>
            </w:r>
          </w:p>
        </w:tc>
      </w:tr>
      <w:tr w:rsidR="002F3D14" w14:paraId="122FCA6A" w14:textId="77777777" w:rsidTr="002F3D14">
        <w:tc>
          <w:tcPr>
            <w:tcW w:w="2520" w:type="dxa"/>
            <w:tcMar>
              <w:top w:w="80" w:type="dxa"/>
              <w:left w:w="120" w:type="dxa"/>
              <w:bottom w:w="80" w:type="dxa"/>
              <w:right w:w="120" w:type="dxa"/>
            </w:tcMar>
            <w:vAlign w:val="center"/>
          </w:tcPr>
          <w:p w14:paraId="6BA53142" w14:textId="77777777" w:rsidR="002F3D14" w:rsidRDefault="002F3D14">
            <w:pPr>
              <w:spacing w:after="40"/>
            </w:pPr>
            <w:r>
              <w:rPr>
                <w:color w:val="1F2933"/>
                <w:sz w:val="19"/>
              </w:rPr>
              <w:t>4. Multimodal coding</w:t>
            </w:r>
          </w:p>
        </w:tc>
        <w:tc>
          <w:tcPr>
            <w:tcW w:w="6030" w:type="dxa"/>
            <w:tcMar>
              <w:top w:w="80" w:type="dxa"/>
              <w:left w:w="120" w:type="dxa"/>
              <w:bottom w:w="80" w:type="dxa"/>
              <w:right w:w="120" w:type="dxa"/>
            </w:tcMar>
            <w:vAlign w:val="center"/>
          </w:tcPr>
          <w:p w14:paraId="3B5F9981" w14:textId="77777777" w:rsidR="002F3D14" w:rsidRDefault="002F3D14">
            <w:pPr>
              <w:spacing w:after="40"/>
            </w:pPr>
            <w:r>
              <w:rPr>
                <w:color w:val="1F2933"/>
                <w:sz w:val="19"/>
              </w:rPr>
              <w:t>Code talk, gaze, gesture, posture, touch, material action, waiting, silence, withdrawal, re-entry, support, and response.</w:t>
            </w:r>
          </w:p>
        </w:tc>
      </w:tr>
      <w:tr w:rsidR="002F3D14" w14:paraId="47CFC7E9" w14:textId="77777777" w:rsidTr="002F3D14">
        <w:tc>
          <w:tcPr>
            <w:tcW w:w="2520" w:type="dxa"/>
            <w:tcMar>
              <w:top w:w="80" w:type="dxa"/>
              <w:left w:w="120" w:type="dxa"/>
              <w:bottom w:w="80" w:type="dxa"/>
              <w:right w:w="120" w:type="dxa"/>
            </w:tcMar>
            <w:vAlign w:val="center"/>
          </w:tcPr>
          <w:p w14:paraId="4E750B51" w14:textId="77777777" w:rsidR="002F3D14" w:rsidRDefault="002F3D14">
            <w:pPr>
              <w:spacing w:after="40"/>
            </w:pPr>
            <w:r>
              <w:rPr>
                <w:color w:val="1F2933"/>
                <w:sz w:val="19"/>
              </w:rPr>
              <w:t>5. Thematic interpretation</w:t>
            </w:r>
          </w:p>
        </w:tc>
        <w:tc>
          <w:tcPr>
            <w:tcW w:w="6030" w:type="dxa"/>
            <w:tcMar>
              <w:top w:w="80" w:type="dxa"/>
              <w:left w:w="120" w:type="dxa"/>
              <w:bottom w:w="80" w:type="dxa"/>
              <w:right w:w="120" w:type="dxa"/>
            </w:tcMar>
            <w:vAlign w:val="center"/>
          </w:tcPr>
          <w:p w14:paraId="7B3FEED9" w14:textId="77777777" w:rsidR="002F3D14" w:rsidRDefault="002F3D14">
            <w:pPr>
              <w:spacing w:after="40"/>
            </w:pPr>
            <w:r>
              <w:rPr>
                <w:color w:val="1F2933"/>
                <w:sz w:val="19"/>
              </w:rPr>
              <w:t>Compare episodes across students, sources, and sessions, then link recurring patterns to learning or tactile meaning.</w:t>
            </w:r>
          </w:p>
        </w:tc>
      </w:tr>
    </w:tbl>
    <w:p w14:paraId="09351482" w14:textId="77777777" w:rsidR="0051262F" w:rsidRDefault="0051262F"/>
    <w:p w14:paraId="5668E2E9" w14:textId="479DE8F2" w:rsidR="0051262F" w:rsidRDefault="0051262F"/>
    <w:sectPr w:rsidR="0051262F">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801EA" w14:textId="77777777" w:rsidR="008E2DDE" w:rsidRDefault="008E2DDE">
      <w:pPr>
        <w:spacing w:after="0" w:line="240" w:lineRule="auto"/>
      </w:pPr>
      <w:r>
        <w:separator/>
      </w:r>
    </w:p>
  </w:endnote>
  <w:endnote w:type="continuationSeparator" w:id="0">
    <w:p w14:paraId="5CB83537" w14:textId="77777777" w:rsidR="008E2DDE" w:rsidRDefault="008E2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F799" w14:textId="77777777" w:rsidR="0051262F" w:rsidRDefault="00000000">
    <w:pPr>
      <w:pStyle w:val="Footer"/>
      <w:jc w:val="right"/>
    </w:pPr>
    <w:r>
      <w:rPr>
        <w:color w:val="556670"/>
        <w:sz w:val="18"/>
      </w:rPr>
      <w:t xml:space="preserve">Page </w:t>
    </w:r>
    <w:r>
      <w:rPr>
        <w:color w:val="556670"/>
        <w:sz w:val="18"/>
      </w:rPr>
      <w:fldChar w:fldCharType="begin"/>
    </w:r>
    <w:r>
      <w:rPr>
        <w:color w:val="556670"/>
        <w:sz w:val="18"/>
      </w:rPr>
      <w:instrText>PAGE</w:instrText>
    </w:r>
    <w:r w:rsidR="00D8646F">
      <w:rPr>
        <w:color w:val="556670"/>
        <w:sz w:val="18"/>
      </w:rPr>
      <w:fldChar w:fldCharType="separate"/>
    </w:r>
    <w:r w:rsidR="00D8646F">
      <w:rPr>
        <w:noProof/>
        <w:color w:val="556670"/>
        <w:sz w:val="18"/>
      </w:rPr>
      <w:t>1</w:t>
    </w:r>
    <w:r>
      <w:rPr>
        <w:color w:val="5566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C84ED" w14:textId="77777777" w:rsidR="008E2DDE" w:rsidRDefault="008E2DDE">
      <w:pPr>
        <w:spacing w:after="0" w:line="240" w:lineRule="auto"/>
      </w:pPr>
      <w:r>
        <w:separator/>
      </w:r>
    </w:p>
  </w:footnote>
  <w:footnote w:type="continuationSeparator" w:id="0">
    <w:p w14:paraId="40C3AF31" w14:textId="77777777" w:rsidR="008E2DDE" w:rsidRDefault="008E2D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0195678">
    <w:abstractNumId w:val="8"/>
  </w:num>
  <w:num w:numId="2" w16cid:durableId="1675917071">
    <w:abstractNumId w:val="6"/>
  </w:num>
  <w:num w:numId="3" w16cid:durableId="1694920450">
    <w:abstractNumId w:val="5"/>
  </w:num>
  <w:num w:numId="4" w16cid:durableId="1102917254">
    <w:abstractNumId w:val="4"/>
  </w:num>
  <w:num w:numId="5" w16cid:durableId="1738430353">
    <w:abstractNumId w:val="7"/>
  </w:num>
  <w:num w:numId="6" w16cid:durableId="1260795027">
    <w:abstractNumId w:val="3"/>
  </w:num>
  <w:num w:numId="7" w16cid:durableId="1568876705">
    <w:abstractNumId w:val="2"/>
  </w:num>
  <w:num w:numId="8" w16cid:durableId="260721834">
    <w:abstractNumId w:val="1"/>
  </w:num>
  <w:num w:numId="9" w16cid:durableId="1403677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D14"/>
    <w:rsid w:val="00326F90"/>
    <w:rsid w:val="0051262F"/>
    <w:rsid w:val="008E2DDE"/>
    <w:rsid w:val="00AA1D8D"/>
    <w:rsid w:val="00B47730"/>
    <w:rsid w:val="00CB0664"/>
    <w:rsid w:val="00CC39BB"/>
    <w:rsid w:val="00D53729"/>
    <w:rsid w:val="00D864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5EA2C4"/>
  <w14:defaultImageDpi w14:val="300"/>
  <w15:docId w15:val="{A7F23C9F-3013-6846-BC88-CF4DF4418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F3D14"/>
    <w:rPr>
      <w:color w:val="0000FF" w:themeColor="hyperlink"/>
      <w:u w:val="single"/>
    </w:rPr>
  </w:style>
  <w:style w:type="character" w:styleId="UnresolvedMention">
    <w:name w:val="Unresolved Mention"/>
    <w:basedOn w:val="DefaultParagraphFont"/>
    <w:uiPriority w:val="99"/>
    <w:semiHidden/>
    <w:unhideWhenUsed/>
    <w:rsid w:val="002F3D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465468">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67450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l.acm.org/doi/10.1145/3772318.37916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1249</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Hongni YE</cp:lastModifiedBy>
  <cp:revision>3</cp:revision>
  <dcterms:created xsi:type="dcterms:W3CDTF">2013-12-23T23:15:00Z</dcterms:created>
  <dcterms:modified xsi:type="dcterms:W3CDTF">2026-06-11T10:28:00Z</dcterms:modified>
  <cp:category/>
</cp:coreProperties>
</file>