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D2D7F" w:rsidRDefault="00000000">
      <w:pPr>
        <w:jc w:val="center"/>
        <w:rPr>
          <w:sz w:val="48"/>
          <w:szCs w:val="48"/>
        </w:rPr>
      </w:pPr>
      <w:r>
        <w:rPr>
          <w:sz w:val="48"/>
          <w:szCs w:val="48"/>
        </w:rPr>
        <w:t>Integrarea Inteligenței Artificiale în societate</w:t>
      </w:r>
    </w:p>
    <w:p w14:paraId="00000002" w14:textId="77777777" w:rsidR="006D2D7F" w:rsidRDefault="00000000">
      <w:pPr>
        <w:jc w:val="center"/>
        <w:rPr>
          <w:sz w:val="48"/>
          <w:szCs w:val="48"/>
        </w:rPr>
      </w:pPr>
      <w:r>
        <w:rPr>
          <w:sz w:val="48"/>
          <w:szCs w:val="48"/>
        </w:rPr>
        <w:t>-Rezumat-</w:t>
      </w:r>
    </w:p>
    <w:p w14:paraId="00000003" w14:textId="77777777" w:rsidR="006D2D7F" w:rsidRDefault="006D2D7F">
      <w:pPr>
        <w:jc w:val="center"/>
        <w:rPr>
          <w:sz w:val="48"/>
          <w:szCs w:val="48"/>
        </w:rPr>
      </w:pPr>
    </w:p>
    <w:p w14:paraId="00000004" w14:textId="77777777"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contextul actual al avansului tehnologic tot mai rapid, Inteligența Artificială (AI) se evidențiază ca o forță transformatoare cu potențialul de a remodela modul în care trăim, lucrăm și interacționăm unii cu alții. Pe măsură ce societatea se confruntă cu capacitățile tot mai extinse ale Inteligenței Artificiale, apare o întrebare crucială, care va fi și tema acestui eseu: Poate fi Inteligența Artificială integrată cu succes în societate? În continuare voi susține faptul că, într-adevăr, Inteligența Artificială poate fi integrată cu succes în societate.</w:t>
      </w:r>
    </w:p>
    <w:p w14:paraId="00000005" w14:textId="7E9EADBB"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Argumentul principal în favoare</w:t>
      </w:r>
      <w:r w:rsidR="009A582E">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sa este redat de prezența deja existentă a acesteia la un anumit nivel, exemplificată de instrumente precum OpenAI. Integrarea unui nou concept în cotidian nu se realizează instant, ci treptat, aplicațiile de tip Inteligență Artificială Generativă, precum ChatGPT în cadrul textelor, sau DALL-E în contextul imaginilor fiind primul pas în acest proces. Aici voi continua să dezvolt cu avantaje pe care acestea le aduc la viața cotidiană precum creșterea eficienței în anumite domenii și potențiale automatizări.</w:t>
      </w:r>
    </w:p>
    <w:p w14:paraId="00000006" w14:textId="77777777"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doilea argument va fi legat de faptul că foarte de curând s-a făcut un pas foarte mare în această direcție, fiind ales primul CEO ce este o Inteligență Artificială, Mika (</w:t>
      </w:r>
      <w:hyperlink r:id="rId5">
        <w:r>
          <w:rPr>
            <w:rFonts w:ascii="Times New Roman" w:eastAsia="Times New Roman" w:hAnsi="Times New Roman" w:cs="Times New Roman"/>
            <w:color w:val="0563C1"/>
            <w:sz w:val="24"/>
            <w:szCs w:val="24"/>
            <w:u w:val="single"/>
          </w:rPr>
          <w:t>https://dictador.com/the-first-robot-ceo-in-a-global-company/</w:t>
        </w:r>
      </w:hyperlink>
      <w:r>
        <w:rPr>
          <w:rFonts w:ascii="Times New Roman" w:eastAsia="Times New Roman" w:hAnsi="Times New Roman" w:cs="Times New Roman"/>
          <w:sz w:val="24"/>
          <w:szCs w:val="24"/>
        </w:rPr>
        <w:t>). Voi continua cu impactul economic asupra sectorului economic.</w:t>
      </w:r>
    </w:p>
    <w:p w14:paraId="00000007" w14:textId="77777777"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Contraargumentul principal va viza etica, momentan neclară, asupra Inteligenței Artificiale.</w:t>
      </w:r>
    </w:p>
    <w:p w14:paraId="00000008" w14:textId="77777777"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doilea contraargument va sublinia incompatibilitatea oamenilor cu roboți la nivel emoțional, fiind necesară în anumite spețe.</w:t>
      </w:r>
    </w:p>
    <w:p w14:paraId="00000009" w14:textId="77777777" w:rsidR="006D2D7F" w:rsidRDefault="006D2D7F">
      <w:pPr>
        <w:ind w:firstLine="720"/>
        <w:jc w:val="both"/>
        <w:rPr>
          <w:rFonts w:ascii="Times New Roman" w:eastAsia="Times New Roman" w:hAnsi="Times New Roman" w:cs="Times New Roman"/>
          <w:sz w:val="24"/>
          <w:szCs w:val="24"/>
        </w:rPr>
      </w:pPr>
    </w:p>
    <w:p w14:paraId="0000000A" w14:textId="77777777" w:rsidR="006D2D7F"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Articole relaționate:</w:t>
      </w:r>
    </w:p>
    <w:p w14:paraId="0000000B" w14:textId="77777777" w:rsidR="006D2D7F" w:rsidRDefault="00000000">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i/>
          <w:color w:val="000000"/>
          <w:sz w:val="24"/>
          <w:szCs w:val="24"/>
        </w:rPr>
        <w:t>Mind</w:t>
      </w:r>
      <w:r>
        <w:rPr>
          <w:rFonts w:ascii="Times New Roman" w:eastAsia="Times New Roman" w:hAnsi="Times New Roman" w:cs="Times New Roman"/>
          <w:color w:val="000000"/>
          <w:sz w:val="24"/>
          <w:szCs w:val="24"/>
        </w:rPr>
        <w:t>, Volume LIX, Issue 236, October 1950, Pages 433–460, </w:t>
      </w:r>
      <w:hyperlink r:id="rId6">
        <w:r>
          <w:rPr>
            <w:rFonts w:ascii="Times New Roman" w:eastAsia="Times New Roman" w:hAnsi="Times New Roman" w:cs="Times New Roman"/>
            <w:color w:val="0563C1"/>
            <w:sz w:val="24"/>
            <w:szCs w:val="24"/>
            <w:u w:val="single"/>
          </w:rPr>
          <w:t>https://doi.org/10.1093/mind/LIX.236.433</w:t>
        </w:r>
      </w:hyperlink>
      <w:r>
        <w:rPr>
          <w:rFonts w:ascii="Times New Roman" w:eastAsia="Times New Roman" w:hAnsi="Times New Roman" w:cs="Times New Roman"/>
          <w:color w:val="000000"/>
          <w:sz w:val="24"/>
          <w:szCs w:val="24"/>
        </w:rPr>
        <w:t xml:space="preserve"> (voi dezvolta puțin asupra textului de curs)</w:t>
      </w:r>
    </w:p>
    <w:p w14:paraId="0000000C" w14:textId="77777777" w:rsidR="006D2D7F" w:rsidRDefault="00000000">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 xml:space="preserve">Cognitive Computation (2019) 11:159–171, </w:t>
      </w:r>
      <w:hyperlink r:id="rId7">
        <w:r>
          <w:rPr>
            <w:rFonts w:ascii="Times New Roman" w:eastAsia="Times New Roman" w:hAnsi="Times New Roman" w:cs="Times New Roman"/>
            <w:color w:val="0563C1"/>
            <w:sz w:val="24"/>
            <w:szCs w:val="24"/>
            <w:u w:val="single"/>
          </w:rPr>
          <w:t>https://doi.org/10.1007/s12559-018-9619-0</w:t>
        </w:r>
      </w:hyperlink>
    </w:p>
    <w:p w14:paraId="0000000D" w14:textId="77777777" w:rsidR="006D2D7F" w:rsidRDefault="00000000">
      <w:pPr>
        <w:numPr>
          <w:ilvl w:val="0"/>
          <w:numId w:val="1"/>
        </w:numPr>
        <w:pBdr>
          <w:top w:val="nil"/>
          <w:left w:val="nil"/>
          <w:bottom w:val="nil"/>
          <w:right w:val="nil"/>
          <w:between w:val="nil"/>
        </w:pBdr>
        <w:jc w:val="both"/>
        <w:rPr>
          <w:color w:val="000000"/>
          <w:sz w:val="24"/>
          <w:szCs w:val="24"/>
        </w:rPr>
      </w:pPr>
      <w:hyperlink r:id="rId8">
        <w:r>
          <w:rPr>
            <w:rFonts w:ascii="Times New Roman" w:eastAsia="Times New Roman" w:hAnsi="Times New Roman" w:cs="Times New Roman"/>
            <w:color w:val="0563C1"/>
            <w:sz w:val="24"/>
            <w:szCs w:val="24"/>
            <w:u w:val="single"/>
          </w:rPr>
          <w:t>https://dictador.com/the-first-robot-ceo-in-a-global-company/</w:t>
        </w:r>
      </w:hyperlink>
      <w:r>
        <w:rPr>
          <w:rFonts w:ascii="Times New Roman" w:eastAsia="Times New Roman" w:hAnsi="Times New Roman" w:cs="Times New Roman"/>
          <w:color w:val="000000"/>
          <w:sz w:val="24"/>
          <w:szCs w:val="24"/>
        </w:rPr>
        <w:t xml:space="preserve"> (nu este un articol științific, dar l-am adăugat la referințe)</w:t>
      </w:r>
    </w:p>
    <w:sectPr w:rsidR="006D2D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85CCF"/>
    <w:multiLevelType w:val="multilevel"/>
    <w:tmpl w:val="7248A1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8912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D7F"/>
    <w:rsid w:val="006D2D7F"/>
    <w:rsid w:val="009A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A248C"/>
  <w15:docId w15:val="{6D37F71E-E976-4E0A-80DF-62D4C638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ictador.com/the-first-robot-ceo-in-a-global-company/" TargetMode="External"/><Relationship Id="rId3" Type="http://schemas.openxmlformats.org/officeDocument/2006/relationships/settings" Target="settings.xml"/><Relationship Id="rId7" Type="http://schemas.openxmlformats.org/officeDocument/2006/relationships/hyperlink" Target="https://doi.org/10.1007/s12559-018-9619-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mind/LIX.236.433" TargetMode="External"/><Relationship Id="rId5" Type="http://schemas.openxmlformats.org/officeDocument/2006/relationships/hyperlink" Target="https://dictador.com/the-first-robot-ceo-in-a-global-compan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DRAGOS ADRIAN CUCIUREANU</cp:lastModifiedBy>
  <cp:revision>2</cp:revision>
  <dcterms:created xsi:type="dcterms:W3CDTF">2024-01-13T14:56:00Z</dcterms:created>
  <dcterms:modified xsi:type="dcterms:W3CDTF">2024-01-13T15:25:00Z</dcterms:modified>
</cp:coreProperties>
</file>